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jc w:val="center"/>
        <w:rPr>
          <w:sz w:val="56"/>
          <w:szCs w:val="56"/>
          <w:highlight w:val="none"/>
        </w:rPr>
      </w:pPr>
      <w:r>
        <w:rPr>
          <w:sz w:val="56"/>
          <w:highlight w:val="none"/>
        </w:rPr>
        <mc:AlternateContent>
          <mc:Choice Requires="wps">
            <w:drawing>
              <wp:anchor distT="0" distB="0" distL="114300" distR="114300" simplePos="0" relativeHeight="251659264" behindDoc="0" locked="0" layoutInCell="1" allowOverlap="1">
                <wp:simplePos x="0" y="0"/>
                <wp:positionH relativeFrom="column">
                  <wp:posOffset>-236220</wp:posOffset>
                </wp:positionH>
                <wp:positionV relativeFrom="paragraph">
                  <wp:posOffset>-297180</wp:posOffset>
                </wp:positionV>
                <wp:extent cx="1523365" cy="517525"/>
                <wp:effectExtent l="0" t="0" r="635" b="15875"/>
                <wp:wrapNone/>
                <wp:docPr id="1" name="文本框 1"/>
                <wp:cNvGraphicFramePr/>
                <a:graphic xmlns:a="http://schemas.openxmlformats.org/drawingml/2006/main">
                  <a:graphicData uri="http://schemas.microsoft.com/office/word/2010/wordprocessingShape">
                    <wps:wsp>
                      <wps:cNvSpPr txBox="1"/>
                      <wps:spPr>
                        <a:xfrm>
                          <a:off x="1799590" y="935990"/>
                          <a:ext cx="1523365" cy="51752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楷体" w:hAnsi="楷体" w:eastAsia="楷体" w:cs="楷体"/>
                                <w:sz w:val="30"/>
                                <w:szCs w:val="30"/>
                                <w:lang w:val="en-US" w:eastAsia="zh-CN"/>
                              </w:rPr>
                            </w:pPr>
                            <w:r>
                              <w:rPr>
                                <w:rFonts w:hint="eastAsia" w:ascii="楷体" w:hAnsi="楷体" w:eastAsia="楷体" w:cs="楷体"/>
                                <w:sz w:val="30"/>
                                <w:szCs w:val="30"/>
                                <w:lang w:eastAsia="zh-CN"/>
                              </w:rPr>
                              <w:t>附件</w:t>
                            </w:r>
                            <w:r>
                              <w:rPr>
                                <w:rFonts w:hint="eastAsia" w:ascii="楷体" w:hAnsi="楷体" w:eastAsia="楷体" w:cs="楷体"/>
                                <w:sz w:val="30"/>
                                <w:szCs w:val="30"/>
                                <w:lang w:val="en-US" w:eastAsia="zh-CN"/>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8.6pt;margin-top:-23.4pt;height:40.75pt;width:119.95pt;z-index:251659264;mso-width-relative:page;mso-height-relative:page;" fillcolor="#FFFFFF [3201]" filled="t" stroked="f" coordsize="21600,21600" o:gfxdata="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cvAmUNYAAAAK&#10;AQAADwAAAAAAAAABACAAAAAiAAAAZHJzL2Rvd25yZXYueG1sUEsBAhQAFAAAAAgAh07iQEe/k8dX&#10;AgAAmgQAAA4AAAAAAAAAAQAgAAAAJQEAAGRycy9lMm9Eb2MueG1sUEsFBgAAAAAGAAYAWQEAAO4F&#10;AAAAAA==&#10;">
                <v:fill on="t" focussize="0,0"/>
                <v:stroke on="f" weight="0.5pt"/>
                <v:imagedata o:title=""/>
                <o:lock v:ext="edit" aspectratio="f"/>
                <v:textbox>
                  <w:txbxContent>
                    <w:p>
                      <w:pPr>
                        <w:rPr>
                          <w:rFonts w:hint="eastAsia" w:ascii="楷体" w:hAnsi="楷体" w:eastAsia="楷体" w:cs="楷体"/>
                          <w:sz w:val="30"/>
                          <w:szCs w:val="30"/>
                          <w:lang w:val="en-US" w:eastAsia="zh-CN"/>
                        </w:rPr>
                      </w:pPr>
                      <w:r>
                        <w:rPr>
                          <w:rFonts w:hint="eastAsia" w:ascii="楷体" w:hAnsi="楷体" w:eastAsia="楷体" w:cs="楷体"/>
                          <w:sz w:val="30"/>
                          <w:szCs w:val="30"/>
                          <w:lang w:eastAsia="zh-CN"/>
                        </w:rPr>
                        <w:t>附件</w:t>
                      </w:r>
                      <w:r>
                        <w:rPr>
                          <w:rFonts w:hint="eastAsia" w:ascii="楷体" w:hAnsi="楷体" w:eastAsia="楷体" w:cs="楷体"/>
                          <w:sz w:val="30"/>
                          <w:szCs w:val="30"/>
                          <w:lang w:val="en-US" w:eastAsia="zh-CN"/>
                        </w:rPr>
                        <w:t>1：</w:t>
                      </w:r>
                    </w:p>
                  </w:txbxContent>
                </v:textbox>
              </v:shape>
            </w:pict>
          </mc:Fallback>
        </mc:AlternateContent>
      </w:r>
    </w:p>
    <w:p>
      <w:pPr>
        <w:pStyle w:val="14"/>
        <w:jc w:val="center"/>
        <w:rPr>
          <w:sz w:val="56"/>
          <w:szCs w:val="56"/>
          <w:highlight w:val="none"/>
        </w:rPr>
      </w:pPr>
    </w:p>
    <w:p>
      <w:pPr>
        <w:pStyle w:val="14"/>
        <w:jc w:val="center"/>
        <w:rPr>
          <w:sz w:val="84"/>
          <w:szCs w:val="84"/>
          <w:highlight w:val="none"/>
        </w:rPr>
      </w:pPr>
    </w:p>
    <w:p>
      <w:pPr>
        <w:pStyle w:val="14"/>
        <w:jc w:val="center"/>
        <w:rPr>
          <w:sz w:val="84"/>
          <w:szCs w:val="84"/>
          <w:highlight w:val="none"/>
        </w:rPr>
      </w:pPr>
    </w:p>
    <w:p>
      <w:pPr>
        <w:pStyle w:val="14"/>
        <w:jc w:val="center"/>
        <w:rPr>
          <w:rFonts w:hint="eastAsia" w:ascii="方正小标宋_GBK" w:hAnsi="方正小标宋_GBK" w:eastAsia="方正小标宋_GBK" w:cs="方正小标宋_GBK"/>
          <w:sz w:val="84"/>
          <w:szCs w:val="84"/>
          <w:highlight w:val="none"/>
        </w:rPr>
      </w:pPr>
      <w:r>
        <w:rPr>
          <w:rFonts w:hint="eastAsia" w:ascii="方正小标宋_GBK" w:hAnsi="方正小标宋_GBK" w:eastAsia="方正小标宋_GBK" w:cs="方正小标宋_GBK"/>
          <w:sz w:val="84"/>
          <w:szCs w:val="84"/>
          <w:highlight w:val="none"/>
        </w:rPr>
        <w:t>202</w:t>
      </w:r>
      <w:r>
        <w:rPr>
          <w:rFonts w:hint="eastAsia" w:ascii="方正小标宋_GBK" w:hAnsi="方正小标宋_GBK" w:eastAsia="方正小标宋_GBK" w:cs="方正小标宋_GBK"/>
          <w:sz w:val="84"/>
          <w:szCs w:val="84"/>
          <w:highlight w:val="none"/>
          <w:lang w:val="en-US" w:eastAsia="zh-CN"/>
        </w:rPr>
        <w:t>3</w:t>
      </w:r>
      <w:r>
        <w:rPr>
          <w:rFonts w:hint="eastAsia" w:ascii="方正小标宋_GBK" w:hAnsi="方正小标宋_GBK" w:eastAsia="方正小标宋_GBK" w:cs="方正小标宋_GBK"/>
          <w:sz w:val="84"/>
          <w:szCs w:val="84"/>
          <w:highlight w:val="none"/>
        </w:rPr>
        <w:t>年度</w:t>
      </w:r>
    </w:p>
    <w:p>
      <w:pPr>
        <w:pStyle w:val="14"/>
        <w:jc w:val="center"/>
        <w:rPr>
          <w:rFonts w:hint="eastAsia" w:ascii="方正小标宋_GBK" w:hAnsi="方正小标宋_GBK" w:eastAsia="方正小标宋_GBK" w:cs="方正小标宋_GBK"/>
          <w:sz w:val="84"/>
          <w:szCs w:val="84"/>
          <w:highlight w:val="none"/>
        </w:rPr>
      </w:pPr>
      <w:r>
        <w:rPr>
          <w:rFonts w:hint="eastAsia" w:ascii="方正小标宋_GBK" w:hAnsi="方正小标宋_GBK" w:eastAsia="方正小标宋_GBK" w:cs="方正小标宋_GBK"/>
          <w:sz w:val="84"/>
          <w:szCs w:val="84"/>
          <w:highlight w:val="none"/>
          <w:lang w:val="en-US" w:eastAsia="zh-CN"/>
        </w:rPr>
        <w:t>湖南工程学院</w:t>
      </w:r>
      <w:r>
        <w:rPr>
          <w:rFonts w:hint="eastAsia" w:ascii="方正小标宋_GBK" w:hAnsi="方正小标宋_GBK" w:eastAsia="方正小标宋_GBK" w:cs="方正小标宋_GBK"/>
          <w:sz w:val="84"/>
          <w:szCs w:val="84"/>
          <w:highlight w:val="none"/>
        </w:rPr>
        <w:t>部门决算</w:t>
      </w:r>
    </w:p>
    <w:p>
      <w:pPr>
        <w:pStyle w:val="14"/>
        <w:jc w:val="center"/>
        <w:rPr>
          <w:rFonts w:hint="eastAsia" w:ascii="方正小标宋_GBK" w:hAnsi="方正小标宋_GBK" w:eastAsia="方正小标宋_GBK" w:cs="方正小标宋_GBK"/>
          <w:sz w:val="56"/>
          <w:szCs w:val="56"/>
          <w:highlight w:val="none"/>
        </w:rPr>
      </w:pPr>
    </w:p>
    <w:p>
      <w:pPr>
        <w:pStyle w:val="14"/>
        <w:jc w:val="center"/>
        <w:rPr>
          <w:sz w:val="56"/>
          <w:szCs w:val="56"/>
          <w:highlight w:val="none"/>
        </w:rPr>
      </w:pPr>
    </w:p>
    <w:p>
      <w:pPr>
        <w:pStyle w:val="14"/>
        <w:jc w:val="center"/>
        <w:rPr>
          <w:sz w:val="56"/>
          <w:szCs w:val="56"/>
          <w:highlight w:val="none"/>
        </w:rPr>
      </w:pPr>
    </w:p>
    <w:p>
      <w:pPr>
        <w:pStyle w:val="14"/>
        <w:jc w:val="center"/>
        <w:rPr>
          <w:sz w:val="56"/>
          <w:szCs w:val="56"/>
          <w:highlight w:val="none"/>
        </w:rPr>
      </w:pPr>
    </w:p>
    <w:p>
      <w:pPr>
        <w:pStyle w:val="14"/>
        <w:jc w:val="center"/>
        <w:rPr>
          <w:sz w:val="32"/>
          <w:szCs w:val="32"/>
          <w:highlight w:val="none"/>
        </w:rPr>
      </w:pPr>
    </w:p>
    <w:p>
      <w:pPr>
        <w:pStyle w:val="14"/>
        <w:jc w:val="center"/>
        <w:rPr>
          <w:sz w:val="32"/>
          <w:szCs w:val="32"/>
          <w:highlight w:val="none"/>
        </w:rPr>
      </w:pPr>
    </w:p>
    <w:p>
      <w:pPr>
        <w:pStyle w:val="14"/>
        <w:jc w:val="center"/>
        <w:rPr>
          <w:sz w:val="32"/>
          <w:szCs w:val="32"/>
          <w:highlight w:val="none"/>
        </w:rPr>
      </w:pPr>
    </w:p>
    <w:p>
      <w:pPr>
        <w:pStyle w:val="14"/>
        <w:jc w:val="center"/>
        <w:rPr>
          <w:sz w:val="32"/>
          <w:szCs w:val="32"/>
          <w:highlight w:val="none"/>
        </w:rPr>
      </w:pPr>
    </w:p>
    <w:p>
      <w:pPr>
        <w:pStyle w:val="14"/>
        <w:jc w:val="center"/>
        <w:rPr>
          <w:sz w:val="32"/>
          <w:szCs w:val="32"/>
          <w:highlight w:val="none"/>
        </w:rPr>
      </w:pPr>
    </w:p>
    <w:p>
      <w:pPr>
        <w:pStyle w:val="14"/>
        <w:spacing w:line="500" w:lineRule="exact"/>
        <w:jc w:val="both"/>
        <w:rPr>
          <w:b/>
          <w:sz w:val="36"/>
          <w:szCs w:val="28"/>
          <w:highlight w:val="none"/>
        </w:rPr>
      </w:pPr>
    </w:p>
    <w:p>
      <w:pPr>
        <w:pStyle w:val="14"/>
        <w:spacing w:line="500" w:lineRule="exact"/>
        <w:jc w:val="center"/>
        <w:rPr>
          <w:b/>
          <w:sz w:val="36"/>
          <w:szCs w:val="28"/>
          <w:highlight w:val="none"/>
        </w:rPr>
      </w:pPr>
      <w:r>
        <w:rPr>
          <w:rFonts w:hint="eastAsia"/>
          <w:b/>
          <w:sz w:val="36"/>
          <w:szCs w:val="28"/>
          <w:highlight w:val="none"/>
        </w:rPr>
        <w:t>目录</w:t>
      </w:r>
    </w:p>
    <w:p>
      <w:pPr>
        <w:pStyle w:val="14"/>
        <w:spacing w:line="500" w:lineRule="exact"/>
        <w:rPr>
          <w:rFonts w:hint="eastAsia" w:ascii="黑体" w:hAnsi="黑体" w:eastAsia="黑体" w:cs="黑体"/>
          <w:b w:val="0"/>
          <w:bCs/>
          <w:sz w:val="28"/>
          <w:szCs w:val="28"/>
          <w:highlight w:val="none"/>
        </w:rPr>
      </w:pPr>
      <w:r>
        <w:rPr>
          <w:rFonts w:hint="eastAsia" w:ascii="黑体" w:hAnsi="黑体" w:eastAsia="黑体" w:cs="黑体"/>
          <w:b w:val="0"/>
          <w:bCs/>
          <w:sz w:val="28"/>
          <w:szCs w:val="28"/>
          <w:highlight w:val="none"/>
        </w:rPr>
        <w:t>第一部分</w:t>
      </w:r>
      <w:r>
        <w:rPr>
          <w:rFonts w:hint="eastAsia" w:ascii="黑体" w:hAnsi="黑体" w:eastAsia="黑体" w:cs="黑体"/>
          <w:b w:val="0"/>
          <w:bCs/>
          <w:sz w:val="28"/>
          <w:szCs w:val="28"/>
          <w:highlight w:val="none"/>
          <w:lang w:val="en-US" w:eastAsia="zh-CN"/>
        </w:rPr>
        <w:t xml:space="preserve"> </w:t>
      </w:r>
      <w:r>
        <w:rPr>
          <w:rFonts w:hint="eastAsia" w:hAnsi="黑体" w:cs="黑体"/>
          <w:b w:val="0"/>
          <w:bCs/>
          <w:sz w:val="28"/>
          <w:szCs w:val="28"/>
          <w:highlight w:val="none"/>
          <w:lang w:val="en-US" w:eastAsia="zh-CN"/>
        </w:rPr>
        <w:t>湖南工程学院</w:t>
      </w:r>
      <w:r>
        <w:rPr>
          <w:rFonts w:hint="eastAsia" w:ascii="黑体" w:hAnsi="黑体" w:eastAsia="黑体" w:cs="黑体"/>
          <w:b w:val="0"/>
          <w:bCs/>
          <w:sz w:val="28"/>
          <w:szCs w:val="28"/>
          <w:highlight w:val="none"/>
        </w:rPr>
        <w:t>概况</w:t>
      </w:r>
    </w:p>
    <w:p>
      <w:pPr>
        <w:pStyle w:val="14"/>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一、部门职责</w:t>
      </w:r>
    </w:p>
    <w:p>
      <w:pPr>
        <w:pStyle w:val="14"/>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二、机构设置</w:t>
      </w:r>
    </w:p>
    <w:p>
      <w:pPr>
        <w:pStyle w:val="14"/>
        <w:spacing w:line="500" w:lineRule="exact"/>
        <w:rPr>
          <w:rFonts w:hint="eastAsia" w:ascii="黑体" w:hAnsi="黑体" w:eastAsia="黑体" w:cs="黑体"/>
          <w:b w:val="0"/>
          <w:bCs/>
          <w:sz w:val="28"/>
          <w:szCs w:val="28"/>
          <w:highlight w:val="none"/>
        </w:rPr>
      </w:pPr>
      <w:r>
        <w:rPr>
          <w:rFonts w:hint="eastAsia" w:ascii="黑体" w:hAnsi="黑体" w:eastAsia="黑体" w:cs="黑体"/>
          <w:b w:val="0"/>
          <w:bCs/>
          <w:sz w:val="28"/>
          <w:szCs w:val="28"/>
          <w:highlight w:val="none"/>
        </w:rPr>
        <w:t>第二部分</w:t>
      </w:r>
      <w:r>
        <w:rPr>
          <w:rFonts w:hint="eastAsia" w:ascii="黑体" w:hAnsi="黑体" w:eastAsia="黑体" w:cs="黑体"/>
          <w:b w:val="0"/>
          <w:bCs/>
          <w:sz w:val="28"/>
          <w:szCs w:val="28"/>
          <w:highlight w:val="none"/>
          <w:lang w:val="en-US" w:eastAsia="zh-CN"/>
        </w:rPr>
        <w:t xml:space="preserve"> </w:t>
      </w:r>
      <w:r>
        <w:rPr>
          <w:rFonts w:hint="eastAsia" w:ascii="黑体" w:hAnsi="黑体" w:eastAsia="黑体" w:cs="黑体"/>
          <w:b w:val="0"/>
          <w:bCs/>
          <w:sz w:val="28"/>
          <w:szCs w:val="28"/>
          <w:highlight w:val="none"/>
        </w:rPr>
        <w:t>部门决算表</w:t>
      </w:r>
    </w:p>
    <w:p>
      <w:pPr>
        <w:pStyle w:val="14"/>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一、收入支出决算总表</w:t>
      </w:r>
    </w:p>
    <w:p>
      <w:pPr>
        <w:pStyle w:val="14"/>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二、收入决算表</w:t>
      </w:r>
    </w:p>
    <w:p>
      <w:pPr>
        <w:pStyle w:val="14"/>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三、支出决算表</w:t>
      </w:r>
    </w:p>
    <w:p>
      <w:pPr>
        <w:pStyle w:val="14"/>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四、财政拨款收入支出决算总表</w:t>
      </w:r>
    </w:p>
    <w:p>
      <w:pPr>
        <w:pStyle w:val="14"/>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五、一般公共预算财政拨款支出决算表</w:t>
      </w:r>
    </w:p>
    <w:p>
      <w:pPr>
        <w:pStyle w:val="14"/>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六、一般公共预算财政拨款基本支出决算明细表</w:t>
      </w:r>
    </w:p>
    <w:p>
      <w:pPr>
        <w:pStyle w:val="14"/>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七、政府性基金预算财政拨款收入支出决算表</w:t>
      </w:r>
    </w:p>
    <w:p>
      <w:pPr>
        <w:pStyle w:val="14"/>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八、国有资本经营预算财政拨款支出决算表</w:t>
      </w:r>
    </w:p>
    <w:p>
      <w:pPr>
        <w:pStyle w:val="14"/>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九、财政拨款“三公”经费支出决算表</w:t>
      </w:r>
    </w:p>
    <w:p>
      <w:pPr>
        <w:pStyle w:val="14"/>
        <w:spacing w:line="500" w:lineRule="exact"/>
        <w:rPr>
          <w:rFonts w:hint="eastAsia" w:ascii="黑体" w:hAnsi="黑体" w:eastAsia="黑体" w:cs="黑体"/>
          <w:b w:val="0"/>
          <w:bCs/>
          <w:sz w:val="28"/>
          <w:szCs w:val="28"/>
          <w:highlight w:val="none"/>
        </w:rPr>
      </w:pPr>
      <w:r>
        <w:rPr>
          <w:rFonts w:hint="eastAsia" w:ascii="黑体" w:hAnsi="黑体" w:eastAsia="黑体" w:cs="黑体"/>
          <w:b w:val="0"/>
          <w:bCs/>
          <w:sz w:val="28"/>
          <w:szCs w:val="28"/>
          <w:highlight w:val="none"/>
        </w:rPr>
        <w:t>第三部分</w:t>
      </w:r>
      <w:r>
        <w:rPr>
          <w:rFonts w:hint="eastAsia" w:ascii="黑体" w:hAnsi="黑体" w:eastAsia="黑体" w:cs="黑体"/>
          <w:b w:val="0"/>
          <w:bCs/>
          <w:sz w:val="28"/>
          <w:szCs w:val="28"/>
          <w:highlight w:val="none"/>
          <w:lang w:val="en-US" w:eastAsia="zh-CN"/>
        </w:rPr>
        <w:t xml:space="preserve"> </w:t>
      </w:r>
      <w:r>
        <w:rPr>
          <w:rFonts w:hint="eastAsia" w:ascii="黑体" w:hAnsi="黑体" w:eastAsia="黑体" w:cs="黑体"/>
          <w:b w:val="0"/>
          <w:bCs/>
          <w:sz w:val="28"/>
          <w:szCs w:val="28"/>
          <w:highlight w:val="none"/>
        </w:rPr>
        <w:t>部门决算情况说明</w:t>
      </w:r>
    </w:p>
    <w:p>
      <w:pPr>
        <w:pStyle w:val="14"/>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六、一般公共预算财政拨款基本支出决算情况说明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七、财政拨款三公经费支出决算情况说明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八、政府性基金预算收入支出决算情况</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九、关于机关运行经费支出说明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十、一般性支出情况说明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十一、关于政府采购支出说明</w:t>
      </w:r>
    </w:p>
    <w:p>
      <w:pPr>
        <w:pStyle w:val="14"/>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十二、关于国有资产占用情况说明</w:t>
      </w:r>
    </w:p>
    <w:p>
      <w:pPr>
        <w:pStyle w:val="14"/>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十三、关于</w:t>
      </w:r>
      <w:r>
        <w:rPr>
          <w:rFonts w:hint="default" w:ascii="Times New Roman" w:hAnsi="Times New Roman" w:eastAsia="仿宋_GB2312" w:cs="Times New Roman"/>
          <w:sz w:val="28"/>
          <w:szCs w:val="28"/>
          <w:highlight w:val="none"/>
        </w:rPr>
        <w:t>202</w:t>
      </w:r>
      <w:r>
        <w:rPr>
          <w:rFonts w:hint="default" w:ascii="Times New Roman" w:hAnsi="Times New Roman" w:eastAsia="仿宋_GB2312" w:cs="Times New Roman"/>
          <w:sz w:val="28"/>
          <w:szCs w:val="28"/>
          <w:highlight w:val="none"/>
          <w:lang w:val="en-US" w:eastAsia="zh-CN"/>
        </w:rPr>
        <w:t>3</w:t>
      </w:r>
      <w:r>
        <w:rPr>
          <w:rFonts w:hint="eastAsia" w:ascii="仿宋_GB2312" w:hAnsi="仿宋_GB2312" w:eastAsia="仿宋_GB2312" w:cs="仿宋_GB2312"/>
          <w:sz w:val="28"/>
          <w:szCs w:val="28"/>
          <w:highlight w:val="none"/>
        </w:rPr>
        <w:t>年度</w:t>
      </w:r>
      <w:r>
        <w:rPr>
          <w:rFonts w:hint="eastAsia" w:ascii="仿宋_GB2312" w:hAnsi="仿宋_GB2312" w:eastAsia="仿宋_GB2312" w:cs="仿宋_GB2312"/>
          <w:sz w:val="28"/>
          <w:szCs w:val="28"/>
          <w:highlight w:val="none"/>
          <w:lang w:eastAsia="zh-CN"/>
        </w:rPr>
        <w:t>预算</w:t>
      </w:r>
      <w:r>
        <w:rPr>
          <w:rFonts w:hint="eastAsia" w:ascii="仿宋_GB2312" w:hAnsi="仿宋_GB2312" w:eastAsia="仿宋_GB2312" w:cs="仿宋_GB2312"/>
          <w:sz w:val="28"/>
          <w:szCs w:val="28"/>
          <w:highlight w:val="none"/>
        </w:rPr>
        <w:t>绩效情况的说明</w:t>
      </w:r>
    </w:p>
    <w:p>
      <w:pPr>
        <w:pStyle w:val="14"/>
        <w:spacing w:line="500" w:lineRule="exact"/>
        <w:rPr>
          <w:rFonts w:hint="eastAsia" w:ascii="黑体" w:hAnsi="黑体" w:eastAsia="黑体" w:cs="黑体"/>
          <w:b w:val="0"/>
          <w:bCs/>
          <w:sz w:val="28"/>
          <w:szCs w:val="28"/>
          <w:highlight w:val="none"/>
        </w:rPr>
      </w:pPr>
      <w:r>
        <w:rPr>
          <w:rFonts w:hint="eastAsia" w:ascii="黑体" w:hAnsi="黑体" w:eastAsia="黑体" w:cs="黑体"/>
          <w:b w:val="0"/>
          <w:bCs/>
          <w:sz w:val="28"/>
          <w:szCs w:val="28"/>
          <w:highlight w:val="none"/>
        </w:rPr>
        <w:t>第四部分</w:t>
      </w:r>
      <w:r>
        <w:rPr>
          <w:rFonts w:hint="eastAsia" w:ascii="黑体" w:hAnsi="黑体" w:eastAsia="黑体" w:cs="黑体"/>
          <w:b w:val="0"/>
          <w:bCs/>
          <w:sz w:val="28"/>
          <w:szCs w:val="28"/>
          <w:highlight w:val="none"/>
          <w:lang w:val="en-US" w:eastAsia="zh-CN"/>
        </w:rPr>
        <w:t xml:space="preserve"> </w:t>
      </w:r>
      <w:r>
        <w:rPr>
          <w:rFonts w:hint="eastAsia" w:ascii="黑体" w:hAnsi="黑体" w:eastAsia="黑体" w:cs="黑体"/>
          <w:b w:val="0"/>
          <w:bCs/>
          <w:sz w:val="28"/>
          <w:szCs w:val="28"/>
          <w:highlight w:val="none"/>
        </w:rPr>
        <w:t>名词解释</w:t>
      </w:r>
    </w:p>
    <w:p>
      <w:pPr>
        <w:pStyle w:val="14"/>
        <w:spacing w:line="500" w:lineRule="exact"/>
        <w:rPr>
          <w:rFonts w:hint="eastAsia" w:ascii="黑体" w:hAnsi="黑体" w:eastAsia="黑体" w:cs="黑体"/>
          <w:b w:val="0"/>
          <w:bCs/>
          <w:sz w:val="28"/>
          <w:szCs w:val="28"/>
          <w:highlight w:val="none"/>
          <w:lang w:eastAsia="zh-CN"/>
        </w:rPr>
      </w:pPr>
      <w:r>
        <w:rPr>
          <w:rFonts w:hint="eastAsia" w:ascii="黑体" w:hAnsi="黑体" w:eastAsia="黑体" w:cs="黑体"/>
          <w:b w:val="0"/>
          <w:bCs/>
          <w:sz w:val="28"/>
          <w:szCs w:val="28"/>
          <w:highlight w:val="none"/>
        </w:rPr>
        <w:t>第</w:t>
      </w:r>
      <w:r>
        <w:rPr>
          <w:rFonts w:hint="eastAsia" w:hAnsi="黑体" w:cs="黑体"/>
          <w:b w:val="0"/>
          <w:bCs/>
          <w:sz w:val="28"/>
          <w:szCs w:val="28"/>
          <w:highlight w:val="none"/>
          <w:lang w:eastAsia="zh-CN"/>
        </w:rPr>
        <w:t>五</w:t>
      </w:r>
      <w:r>
        <w:rPr>
          <w:rFonts w:hint="eastAsia" w:ascii="黑体" w:hAnsi="黑体" w:eastAsia="黑体" w:cs="黑体"/>
          <w:b w:val="0"/>
          <w:bCs/>
          <w:sz w:val="28"/>
          <w:szCs w:val="28"/>
          <w:highlight w:val="none"/>
        </w:rPr>
        <w:t>部分</w:t>
      </w:r>
      <w:r>
        <w:rPr>
          <w:rFonts w:hint="eastAsia" w:ascii="黑体" w:hAnsi="黑体" w:eastAsia="黑体" w:cs="黑体"/>
          <w:b w:val="0"/>
          <w:bCs/>
          <w:sz w:val="28"/>
          <w:szCs w:val="28"/>
          <w:highlight w:val="none"/>
          <w:lang w:val="en-US" w:eastAsia="zh-CN"/>
        </w:rPr>
        <w:t xml:space="preserve"> </w:t>
      </w:r>
      <w:r>
        <w:rPr>
          <w:rFonts w:hint="eastAsia" w:hAnsi="黑体" w:cs="黑体"/>
          <w:b w:val="0"/>
          <w:bCs/>
          <w:sz w:val="28"/>
          <w:szCs w:val="28"/>
          <w:highlight w:val="none"/>
          <w:lang w:eastAsia="zh-CN"/>
        </w:rPr>
        <w:t>附件</w:t>
      </w:r>
    </w:p>
    <w:p>
      <w:pPr>
        <w:pStyle w:val="14"/>
        <w:spacing w:line="500" w:lineRule="exact"/>
        <w:rPr>
          <w:rFonts w:hint="eastAsia" w:ascii="黑体" w:hAnsi="黑体" w:eastAsia="黑体" w:cs="黑体"/>
          <w:b w:val="0"/>
          <w:bCs/>
          <w:sz w:val="28"/>
          <w:szCs w:val="28"/>
          <w:highlight w:val="none"/>
        </w:rPr>
      </w:pPr>
    </w:p>
    <w:p>
      <w:pPr>
        <w:jc w:val="center"/>
        <w:rPr>
          <w:sz w:val="72"/>
          <w:szCs w:val="72"/>
          <w:highlight w:val="none"/>
        </w:rPr>
      </w:pPr>
    </w:p>
    <w:p>
      <w:pPr>
        <w:jc w:val="center"/>
        <w:rPr>
          <w:sz w:val="72"/>
          <w:szCs w:val="72"/>
          <w:highlight w:val="none"/>
        </w:rPr>
      </w:pPr>
    </w:p>
    <w:p>
      <w:pPr>
        <w:jc w:val="center"/>
        <w:rPr>
          <w:sz w:val="72"/>
          <w:szCs w:val="72"/>
          <w:highlight w:val="none"/>
        </w:rPr>
      </w:pPr>
    </w:p>
    <w:p>
      <w:pPr>
        <w:jc w:val="center"/>
        <w:rPr>
          <w:sz w:val="72"/>
          <w:szCs w:val="72"/>
          <w:highlight w:val="none"/>
        </w:rPr>
      </w:pPr>
    </w:p>
    <w:p>
      <w:pPr>
        <w:rPr>
          <w:rFonts w:hint="eastAsia" w:ascii="方正小标宋_GBK" w:hAnsi="方正小标宋_GBK" w:eastAsia="方正小标宋_GBK" w:cs="方正小标宋_GBK"/>
          <w:sz w:val="72"/>
          <w:szCs w:val="72"/>
          <w:highlight w:val="none"/>
        </w:rPr>
      </w:pPr>
    </w:p>
    <w:p>
      <w:pPr>
        <w:pStyle w:val="14"/>
        <w:jc w:val="center"/>
        <w:rPr>
          <w:rFonts w:hint="eastAsia" w:ascii="方正小标宋_GBK" w:hAnsi="方正小标宋_GBK" w:eastAsia="方正小标宋_GBK" w:cs="方正小标宋_GBK"/>
          <w:sz w:val="84"/>
          <w:szCs w:val="84"/>
          <w:highlight w:val="none"/>
        </w:rPr>
      </w:pPr>
      <w:r>
        <w:rPr>
          <w:rFonts w:hint="eastAsia" w:ascii="方正小标宋_GBK" w:hAnsi="方正小标宋_GBK" w:eastAsia="方正小标宋_GBK" w:cs="方正小标宋_GBK"/>
          <w:sz w:val="84"/>
          <w:szCs w:val="84"/>
          <w:highlight w:val="none"/>
        </w:rPr>
        <w:t xml:space="preserve">第一部分 </w:t>
      </w:r>
    </w:p>
    <w:p>
      <w:pPr>
        <w:pStyle w:val="14"/>
        <w:jc w:val="center"/>
        <w:rPr>
          <w:rFonts w:hint="eastAsia" w:ascii="方正小标宋_GBK" w:hAnsi="方正小标宋_GBK" w:eastAsia="方正小标宋_GBK" w:cs="方正小标宋_GBK"/>
          <w:sz w:val="84"/>
          <w:szCs w:val="84"/>
          <w:highlight w:val="none"/>
        </w:rPr>
      </w:pPr>
    </w:p>
    <w:p>
      <w:pPr>
        <w:pStyle w:val="14"/>
        <w:jc w:val="center"/>
        <w:rPr>
          <w:rFonts w:hint="eastAsia" w:ascii="方正小标宋_GBK" w:hAnsi="方正小标宋_GBK" w:eastAsia="方正小标宋_GBK" w:cs="方正小标宋_GBK"/>
          <w:sz w:val="84"/>
          <w:szCs w:val="84"/>
          <w:highlight w:val="none"/>
        </w:rPr>
      </w:pPr>
      <w:r>
        <w:rPr>
          <w:rFonts w:hint="eastAsia" w:ascii="方正小标宋_GBK" w:hAnsi="方正小标宋_GBK" w:eastAsia="方正小标宋_GBK" w:cs="方正小标宋_GBK"/>
          <w:sz w:val="84"/>
          <w:szCs w:val="84"/>
          <w:highlight w:val="none"/>
          <w:lang w:val="en-US" w:eastAsia="zh-CN"/>
        </w:rPr>
        <w:t>湖南工程学院</w:t>
      </w:r>
      <w:r>
        <w:rPr>
          <w:rFonts w:hint="eastAsia" w:ascii="方正小标宋_GBK" w:hAnsi="方正小标宋_GBK" w:eastAsia="方正小标宋_GBK" w:cs="方正小标宋_GBK"/>
          <w:sz w:val="84"/>
          <w:szCs w:val="84"/>
          <w:highlight w:val="none"/>
        </w:rPr>
        <w:t>概况</w:t>
      </w:r>
    </w:p>
    <w:p>
      <w:pPr>
        <w:jc w:val="center"/>
        <w:rPr>
          <w:rFonts w:hint="eastAsia" w:ascii="方正小标宋_GBK" w:hAnsi="方正小标宋_GBK" w:eastAsia="方正小标宋_GBK" w:cs="方正小标宋_GBK"/>
          <w:sz w:val="72"/>
          <w:szCs w:val="72"/>
          <w:highlight w:val="none"/>
        </w:rPr>
      </w:pPr>
    </w:p>
    <w:p>
      <w:pPr>
        <w:jc w:val="center"/>
        <w:rPr>
          <w:rFonts w:hint="eastAsia" w:ascii="方正小标宋_GBK" w:hAnsi="方正小标宋_GBK" w:eastAsia="方正小标宋_GBK" w:cs="方正小标宋_GBK"/>
          <w:sz w:val="72"/>
          <w:szCs w:val="72"/>
          <w:highlight w:val="none"/>
        </w:rPr>
      </w:pPr>
    </w:p>
    <w:p>
      <w:pPr>
        <w:jc w:val="both"/>
        <w:rPr>
          <w:sz w:val="72"/>
          <w:szCs w:val="72"/>
          <w:highlight w:val="none"/>
        </w:rPr>
      </w:pPr>
    </w:p>
    <w:p>
      <w:pPr>
        <w:pStyle w:val="15"/>
        <w:numPr>
          <w:ilvl w:val="0"/>
          <w:numId w:val="0"/>
        </w:numPr>
        <w:ind w:leftChars="0"/>
        <w:jc w:val="left"/>
        <w:rPr>
          <w:rFonts w:hint="eastAsia" w:ascii="黑体" w:hAnsi="黑体" w:eastAsia="黑体" w:cs="黑体"/>
          <w:b w:val="0"/>
          <w:bCs w:val="0"/>
          <w:sz w:val="32"/>
          <w:szCs w:val="32"/>
          <w:highlight w:val="none"/>
          <w:lang w:val="en-US" w:eastAsia="zh-CN"/>
        </w:rPr>
      </w:pPr>
      <w:r>
        <w:rPr>
          <w:rFonts w:hint="eastAsia" w:ascii="黑体" w:hAnsi="黑体" w:eastAsia="黑体" w:cs="黑体"/>
          <w:b w:val="0"/>
          <w:bCs w:val="0"/>
          <w:sz w:val="32"/>
          <w:szCs w:val="32"/>
          <w:highlight w:val="none"/>
          <w:lang w:val="en-US" w:eastAsia="zh-CN"/>
        </w:rPr>
        <w:t xml:space="preserve">   </w:t>
      </w:r>
    </w:p>
    <w:p>
      <w:pPr>
        <w:pStyle w:val="15"/>
        <w:numPr>
          <w:ilvl w:val="0"/>
          <w:numId w:val="0"/>
        </w:numPr>
        <w:ind w:leftChars="0"/>
        <w:jc w:val="left"/>
        <w:rPr>
          <w:rFonts w:hint="eastAsia" w:ascii="黑体" w:hAnsi="黑体" w:eastAsia="黑体" w:cs="黑体"/>
          <w:b w:val="0"/>
          <w:bCs w:val="0"/>
          <w:sz w:val="32"/>
          <w:szCs w:val="32"/>
          <w:highlight w:val="none"/>
          <w:lang w:val="en-US" w:eastAsia="zh-CN"/>
        </w:rPr>
      </w:pPr>
      <w:r>
        <w:rPr>
          <w:rFonts w:hint="eastAsia" w:ascii="黑体" w:hAnsi="黑体" w:eastAsia="黑体" w:cs="黑体"/>
          <w:b w:val="0"/>
          <w:bCs w:val="0"/>
          <w:sz w:val="32"/>
          <w:szCs w:val="32"/>
          <w:highlight w:val="none"/>
          <w:lang w:val="en-US" w:eastAsia="zh-CN"/>
        </w:rPr>
        <w:t xml:space="preserve">    </w:t>
      </w:r>
    </w:p>
    <w:p>
      <w:pPr>
        <w:pStyle w:val="15"/>
        <w:numPr>
          <w:ilvl w:val="0"/>
          <w:numId w:val="0"/>
        </w:numPr>
        <w:ind w:leftChars="0"/>
        <w:jc w:val="left"/>
        <w:rPr>
          <w:rFonts w:hint="eastAsia" w:ascii="黑体" w:hAnsi="黑体" w:eastAsia="黑体" w:cs="黑体"/>
          <w:b w:val="0"/>
          <w:bCs w:val="0"/>
          <w:sz w:val="32"/>
          <w:szCs w:val="32"/>
          <w:highlight w:val="none"/>
          <w:lang w:val="en-US" w:eastAsia="zh-CN"/>
        </w:rPr>
      </w:pPr>
    </w:p>
    <w:p>
      <w:pPr>
        <w:pStyle w:val="15"/>
        <w:numPr>
          <w:ilvl w:val="0"/>
          <w:numId w:val="0"/>
        </w:numPr>
        <w:ind w:leftChars="0" w:firstLine="640" w:firstLineChars="200"/>
        <w:jc w:val="left"/>
        <w:rPr>
          <w:rFonts w:hint="eastAsia" w:ascii="黑体" w:hAnsi="黑体" w:eastAsia="黑体" w:cs="黑体"/>
          <w:b w:val="0"/>
          <w:bCs w:val="0"/>
          <w:sz w:val="32"/>
          <w:szCs w:val="32"/>
          <w:highlight w:val="none"/>
        </w:rPr>
      </w:pPr>
      <w:r>
        <w:rPr>
          <w:rFonts w:hint="eastAsia" w:ascii="黑体" w:hAnsi="黑体" w:eastAsia="黑体" w:cs="黑体"/>
          <w:b w:val="0"/>
          <w:bCs w:val="0"/>
          <w:sz w:val="32"/>
          <w:szCs w:val="32"/>
          <w:highlight w:val="none"/>
          <w:lang w:val="en-US" w:eastAsia="zh-CN"/>
        </w:rPr>
        <w:t>一、</w:t>
      </w:r>
      <w:r>
        <w:rPr>
          <w:rFonts w:hint="eastAsia" w:ascii="黑体" w:hAnsi="黑体" w:eastAsia="黑体" w:cs="黑体"/>
          <w:b w:val="0"/>
          <w:bCs w:val="0"/>
          <w:sz w:val="32"/>
          <w:szCs w:val="32"/>
          <w:highlight w:val="none"/>
        </w:rPr>
        <w:t>部门职责</w:t>
      </w:r>
    </w:p>
    <w:p>
      <w:pPr>
        <w:widowControl/>
        <w:spacing w:line="600" w:lineRule="exact"/>
        <w:ind w:firstLine="627" w:firstLineChars="196"/>
        <w:jc w:val="left"/>
        <w:rPr>
          <w:rFonts w:hint="eastAsia" w:ascii="Times New Roman" w:hAnsi="Times New Roman" w:eastAsia="仿宋" w:cs="Times New Roman"/>
          <w:bCs/>
          <w:kern w:val="0"/>
          <w:sz w:val="32"/>
          <w:szCs w:val="32"/>
          <w:highlight w:val="none"/>
        </w:rPr>
      </w:pPr>
      <w:r>
        <w:rPr>
          <w:rFonts w:hint="eastAsia" w:ascii="Times New Roman" w:hAnsi="Times New Roman" w:eastAsia="仿宋" w:cs="Times New Roman"/>
          <w:bCs/>
          <w:kern w:val="0"/>
          <w:sz w:val="32"/>
          <w:szCs w:val="32"/>
          <w:highlight w:val="none"/>
        </w:rPr>
        <w:t>湖南工程学院坐落于一代伟人毛泽东的故乡湖南省湘潭市，是经教育部批准、湖南省人民政府举办的全日制普通高等学校。学校是教育部首批“卓越工程师教育培养计划”实施高校，全国首批“服务国家特殊需求人才培养项目”硕士专业学位试点高校，全国地方高校卓越工程教育校企联盟理事长单位，湖南省首批“2011计划”入选高校，湖南省“双一流”建设高水平应用特色学院。从2020年起，列为湖南省本科一批录取高校。</w:t>
      </w:r>
    </w:p>
    <w:p>
      <w:pPr>
        <w:widowControl/>
        <w:spacing w:line="600" w:lineRule="exact"/>
        <w:ind w:firstLine="627" w:firstLineChars="196"/>
        <w:jc w:val="left"/>
        <w:rPr>
          <w:rFonts w:hint="eastAsia" w:ascii="Times New Roman" w:hAnsi="Times New Roman" w:eastAsia="仿宋" w:cs="Times New Roman"/>
          <w:bCs/>
          <w:kern w:val="0"/>
          <w:sz w:val="32"/>
          <w:szCs w:val="32"/>
          <w:highlight w:val="none"/>
        </w:rPr>
      </w:pPr>
      <w:r>
        <w:rPr>
          <w:rFonts w:hint="eastAsia" w:ascii="Times New Roman" w:hAnsi="Times New Roman" w:eastAsia="仿宋" w:cs="Times New Roman"/>
          <w:bCs/>
          <w:kern w:val="0"/>
          <w:sz w:val="32"/>
          <w:szCs w:val="32"/>
          <w:highlight w:val="none"/>
        </w:rPr>
        <w:t>湖南工程学院由原湘潭机电高等专科学校和湖南纺织高等专科学校于2000年6月合并组建而成。湘潭机电高等专科学校始创于1951年，隶属于原国家机械工业部，是全国示范性高等工程专科重点建设学校；湖南纺织高等专科学校始创于1978年，隶属于原湖南省纺织工业厅。1958年至1963年，湘潭机电高专的前身“湘潭电机学院”曾开办过5年本科教育。</w:t>
      </w:r>
    </w:p>
    <w:p>
      <w:pPr>
        <w:widowControl/>
        <w:spacing w:line="600" w:lineRule="exact"/>
        <w:ind w:firstLine="627" w:firstLineChars="196"/>
        <w:jc w:val="left"/>
        <w:rPr>
          <w:rFonts w:hint="eastAsia" w:ascii="Times New Roman" w:hAnsi="Times New Roman" w:eastAsia="仿宋" w:cs="Times New Roman"/>
          <w:bCs/>
          <w:kern w:val="0"/>
          <w:sz w:val="32"/>
          <w:szCs w:val="32"/>
          <w:highlight w:val="none"/>
        </w:rPr>
      </w:pPr>
      <w:r>
        <w:rPr>
          <w:rFonts w:hint="eastAsia" w:ascii="Times New Roman" w:hAnsi="Times New Roman" w:eastAsia="仿宋" w:cs="Times New Roman"/>
          <w:bCs/>
          <w:kern w:val="0"/>
          <w:sz w:val="32"/>
          <w:szCs w:val="32"/>
          <w:highlight w:val="none"/>
        </w:rPr>
        <w:t>学校现有主校区和书院路校区2个校区，依江傍湖，环境幽雅，墨韵书香。校园占地面积1830.6亩，建筑面积57.6万㎡，是湖南省“园林式单位”和“文明标兵校园”。学校坚守工程教育73年，积淀深厚，始终立足湖南、面向全国、服务基层，为机电、纺织行业和社会经济建设输送了20万余名高素质应用型人才。</w:t>
      </w:r>
    </w:p>
    <w:p>
      <w:pPr>
        <w:widowControl/>
        <w:spacing w:line="600" w:lineRule="exact"/>
        <w:ind w:firstLine="627" w:firstLineChars="196"/>
        <w:jc w:val="left"/>
        <w:rPr>
          <w:rFonts w:hint="eastAsia" w:ascii="Times New Roman" w:hAnsi="Times New Roman" w:eastAsia="仿宋" w:cs="Times New Roman"/>
          <w:bCs/>
          <w:kern w:val="0"/>
          <w:sz w:val="32"/>
          <w:szCs w:val="32"/>
          <w:highlight w:val="none"/>
        </w:rPr>
      </w:pPr>
      <w:r>
        <w:rPr>
          <w:rFonts w:hint="eastAsia" w:ascii="Times New Roman" w:hAnsi="Times New Roman" w:eastAsia="仿宋" w:cs="Times New Roman"/>
          <w:bCs/>
          <w:kern w:val="0"/>
          <w:sz w:val="32"/>
          <w:szCs w:val="32"/>
          <w:highlight w:val="none"/>
        </w:rPr>
        <w:t>学校2000年在全国地方高校中率先确立了应用型人才培养的办学定位，是我国最具工程应用特色的省属高校之一。学校是“全国工程应用型本科教育协作组”副组长单位、“全国高等学校教学研究会应用型本科院校专门委员会”副主任委员单位、“普通高等教育应用型人才培养规划教材编审委员会”主任委员单位 “中国教育国际交流协会应用型高校国际交流分会”理事单位和“湖南省普通高校新工科建设协作组”副主任单位。2007年，以优异成绩通过教育部本科教学工作水平评估；2018年，通过教育部教学工作审核评估。</w:t>
      </w:r>
    </w:p>
    <w:p>
      <w:pPr>
        <w:widowControl/>
        <w:spacing w:line="600" w:lineRule="exact"/>
        <w:ind w:firstLine="627" w:firstLineChars="196"/>
        <w:jc w:val="left"/>
        <w:rPr>
          <w:rFonts w:hint="eastAsia" w:ascii="Times New Roman" w:hAnsi="Times New Roman" w:eastAsia="仿宋" w:cs="Times New Roman"/>
          <w:bCs/>
          <w:kern w:val="0"/>
          <w:sz w:val="32"/>
          <w:szCs w:val="32"/>
          <w:highlight w:val="none"/>
        </w:rPr>
      </w:pPr>
      <w:r>
        <w:rPr>
          <w:rFonts w:hint="eastAsia" w:ascii="Times New Roman" w:hAnsi="Times New Roman" w:eastAsia="仿宋" w:cs="Times New Roman"/>
          <w:bCs/>
          <w:kern w:val="0"/>
          <w:sz w:val="32"/>
          <w:szCs w:val="32"/>
          <w:highlight w:val="none"/>
        </w:rPr>
        <w:t>学校以工为主，多学科协调发展，涵盖工、管、文、理、经、艺等6个学科门类，形成了电气、机械、纺织、化工、管理、信息等优势专业群。现有18个教学科研单位、54个本科招生专业、2个专业硕士学位点。工程学学科进入ESI全球前1%，工程教育改革成果获国家级教学成果二等奖。现有8个湖南省“双一流”建设应用特色学科；教育部“卓越计划”实施专业8个，国家级一流本科专业建设点6个、省级一流本科专业建设点24个；4个专业通过工程教育专业认证，5个专业获受理。现有国家级一流本科课程2门，省级精品课程、一流本科课程/精品在线课程、课程思政示范课程等77门。建有现代产业学院4个，其中人工智能、智慧能源2个产业学院获批认定为省级现代产业学院；1个省级卓越工程师培养（实践）基地。拥有国家级实践教育平台4个，国家级大学生科技创新团队1个，省级创新创业平台52个，省级校企合作人才培养示范基地、优秀实习基地25个，省级虚拟仿真实验中心、示范实验室（中心）9个。金工实习基地是教育部确定的全国高校金工实习教学指导人员培训与考试中心。</w:t>
      </w:r>
    </w:p>
    <w:p>
      <w:pPr>
        <w:widowControl/>
        <w:spacing w:line="600" w:lineRule="exact"/>
        <w:ind w:firstLine="627" w:firstLineChars="196"/>
        <w:jc w:val="left"/>
        <w:rPr>
          <w:rFonts w:hint="eastAsia" w:ascii="Times New Roman" w:hAnsi="Times New Roman" w:eastAsia="仿宋" w:cs="Times New Roman"/>
          <w:bCs/>
          <w:kern w:val="0"/>
          <w:sz w:val="32"/>
          <w:szCs w:val="32"/>
          <w:highlight w:val="none"/>
        </w:rPr>
      </w:pPr>
      <w:r>
        <w:rPr>
          <w:rFonts w:hint="eastAsia" w:ascii="Times New Roman" w:hAnsi="Times New Roman" w:eastAsia="仿宋" w:cs="Times New Roman"/>
          <w:bCs/>
          <w:kern w:val="0"/>
          <w:sz w:val="32"/>
          <w:szCs w:val="32"/>
          <w:highlight w:val="none"/>
        </w:rPr>
        <w:t>学校坚持人才强校战略，师资队伍结构合理，实力突出。现有教职工1478人，其中高级职称教师442人，博士生、硕士生导师178人，聘请企业硕导266人。聘有院士、杰青等国家级高层次人才9人。拥有国务院特贴专家、全国优秀教师、教育部教指委委员等11人；中国科协托举人才、教育部新世纪优秀人才等4人；省政府特贴专家、省教学名师、省杰青等近100人，省级教学、科研团队14个。</w:t>
      </w:r>
    </w:p>
    <w:p>
      <w:pPr>
        <w:widowControl/>
        <w:spacing w:line="600" w:lineRule="exact"/>
        <w:ind w:firstLine="627" w:firstLineChars="196"/>
        <w:jc w:val="left"/>
        <w:rPr>
          <w:rFonts w:hint="eastAsia" w:ascii="Times New Roman" w:hAnsi="Times New Roman" w:eastAsia="仿宋" w:cs="Times New Roman"/>
          <w:bCs/>
          <w:kern w:val="0"/>
          <w:sz w:val="32"/>
          <w:szCs w:val="32"/>
          <w:highlight w:val="none"/>
        </w:rPr>
      </w:pPr>
      <w:r>
        <w:rPr>
          <w:rFonts w:hint="eastAsia" w:ascii="Times New Roman" w:hAnsi="Times New Roman" w:eastAsia="仿宋" w:cs="Times New Roman"/>
          <w:bCs/>
          <w:kern w:val="0"/>
          <w:sz w:val="32"/>
          <w:szCs w:val="32"/>
          <w:highlight w:val="none"/>
        </w:rPr>
        <w:t>学校积极推进科学研究，科技创新和社会服务能力显著提升。拥有首批湖南省高等学校2011协同创新中心“风电装备与电能变换”、湖南省重点实验室“汽车动力与传动系统”和“智慧物流无人驾驶技术”湖南省工程研究中心等省级平台39个，是“海上风力发电装备与风能高效利用”全国重点实验室合作单位。近五年，承担国家重点研发计划和国家自科（社科）基金重点（一般）等科研项目50余项、省部级科研项目700余项，承担企业委托项目1400余项，授权发明专利300余项，获省部级科研成果奖励33项。学校大力加强产学研合作和科技成果转化，成立了6大创新研究院，先后与近千家企业建立了产学研合作关系；150余项科研成果得到应用或转化，累计产生经济效益超过200亿元。2019年科技成果转化金额进入全国高校前100名，2022年入选湖南省首批高等学校科技成果转化和技术转移基地，2023年入选湖南省技术转移示范机构和首批湖南省科技成果转化中试基地。</w:t>
      </w:r>
    </w:p>
    <w:p>
      <w:pPr>
        <w:widowControl/>
        <w:spacing w:line="600" w:lineRule="exact"/>
        <w:ind w:firstLine="627" w:firstLineChars="196"/>
        <w:jc w:val="left"/>
        <w:rPr>
          <w:rFonts w:hint="eastAsia" w:ascii="Times New Roman" w:hAnsi="Times New Roman" w:eastAsia="仿宋" w:cs="Times New Roman"/>
          <w:bCs/>
          <w:kern w:val="0"/>
          <w:sz w:val="32"/>
          <w:szCs w:val="32"/>
          <w:highlight w:val="none"/>
        </w:rPr>
      </w:pPr>
      <w:r>
        <w:rPr>
          <w:rFonts w:hint="eastAsia" w:ascii="Times New Roman" w:hAnsi="Times New Roman" w:eastAsia="仿宋" w:cs="Times New Roman"/>
          <w:bCs/>
          <w:kern w:val="0"/>
          <w:sz w:val="32"/>
          <w:szCs w:val="32"/>
          <w:highlight w:val="none"/>
        </w:rPr>
        <w:t>学校始终坚持开放办学战略，深入开展对外交流与合作，是湖南省最早开展中外合作办学项目的高校之一。先后同20多个国家和地区的50余所大学和机构建立了友好合作关系，开设教育部中外合作办学本科项目3个，已招收10多个国家的来华留学生来校学习。</w:t>
      </w:r>
    </w:p>
    <w:p>
      <w:pPr>
        <w:widowControl/>
        <w:spacing w:line="600" w:lineRule="exact"/>
        <w:ind w:firstLine="627" w:firstLineChars="196"/>
        <w:jc w:val="left"/>
        <w:rPr>
          <w:rFonts w:hint="eastAsia" w:ascii="Times New Roman" w:hAnsi="Times New Roman" w:eastAsia="仿宋" w:cs="Times New Roman"/>
          <w:bCs/>
          <w:kern w:val="0"/>
          <w:sz w:val="32"/>
          <w:szCs w:val="32"/>
          <w:highlight w:val="none"/>
        </w:rPr>
      </w:pPr>
      <w:r>
        <w:rPr>
          <w:rFonts w:hint="eastAsia" w:ascii="Times New Roman" w:hAnsi="Times New Roman" w:eastAsia="仿宋" w:cs="Times New Roman"/>
          <w:bCs/>
          <w:kern w:val="0"/>
          <w:sz w:val="32"/>
          <w:szCs w:val="32"/>
          <w:highlight w:val="none"/>
        </w:rPr>
        <w:t>新时代，新征程，新使命。面向未来，学校将在习近平新时代中国特色社会主义思想指引下，认真贯彻落实学校第四次党代会精神，坚持以立德树人为根本任务，坚持质量立校、人才强校、特色兴校，不断深化应用型人才培养办学定位，不断提升学校核心竞争力和整体办学水平。全校师生员工将积极进取，开拓创新，全力实施“135工程”，全面推进“红色湖工、卓越湖工、奋进湖工、幸福湖工”建设，为全面建成特色鲜明、贡献突出的一流工程应用型地方大学而努力奋斗，为服务“三高四新”美好蓝图，奋力谱写中国式现代化湖南新篇章贡献湖工力量。（数据截至2024年6月15日）</w:t>
      </w:r>
    </w:p>
    <w:p>
      <w:pPr>
        <w:widowControl/>
        <w:spacing w:line="600" w:lineRule="exact"/>
        <w:ind w:firstLine="640" w:firstLineChars="200"/>
        <w:jc w:val="left"/>
        <w:rPr>
          <w:rFonts w:eastAsia="仿宋"/>
          <w:bCs/>
          <w:kern w:val="0"/>
          <w:sz w:val="32"/>
          <w:szCs w:val="32"/>
          <w:highlight w:val="none"/>
        </w:rPr>
      </w:pPr>
      <w:r>
        <w:rPr>
          <w:rFonts w:hint="eastAsia" w:eastAsia="仿宋"/>
          <w:bCs/>
          <w:kern w:val="0"/>
          <w:sz w:val="32"/>
          <w:szCs w:val="32"/>
          <w:highlight w:val="none"/>
        </w:rPr>
        <w:t>学校的主要职能职责如下：</w:t>
      </w:r>
    </w:p>
    <w:p>
      <w:pPr>
        <w:pStyle w:val="14"/>
        <w:ind w:firstLine="640" w:firstLineChars="200"/>
        <w:rPr>
          <w:rFonts w:ascii="Times New Roman" w:hAnsi="Times New Roman" w:eastAsia="仿宋" w:cs="Times New Roman"/>
          <w:bCs/>
          <w:color w:val="auto"/>
          <w:sz w:val="32"/>
          <w:szCs w:val="32"/>
          <w:highlight w:val="none"/>
        </w:rPr>
      </w:pPr>
      <w:r>
        <w:rPr>
          <w:rFonts w:hint="eastAsia" w:ascii="Times New Roman" w:hAnsi="Times New Roman" w:eastAsia="仿宋" w:cs="Times New Roman"/>
          <w:bCs/>
          <w:color w:val="auto"/>
          <w:sz w:val="32"/>
          <w:szCs w:val="32"/>
          <w:highlight w:val="none"/>
        </w:rPr>
        <w:t>1</w:t>
      </w:r>
      <w:r>
        <w:rPr>
          <w:rFonts w:ascii="Times New Roman" w:hAnsi="Times New Roman" w:eastAsia="仿宋" w:cs="Times New Roman"/>
          <w:bCs/>
          <w:color w:val="auto"/>
          <w:sz w:val="32"/>
          <w:szCs w:val="32"/>
          <w:highlight w:val="none"/>
        </w:rPr>
        <w:t>.以习近平新时代中国特色社会主义思想为指导</w:t>
      </w:r>
      <w:r>
        <w:rPr>
          <w:rFonts w:hint="eastAsia" w:ascii="Times New Roman" w:hAnsi="Times New Roman" w:eastAsia="仿宋" w:cs="Times New Roman"/>
          <w:bCs/>
          <w:color w:val="auto"/>
          <w:sz w:val="32"/>
          <w:szCs w:val="32"/>
          <w:highlight w:val="none"/>
        </w:rPr>
        <w:t>，全面贯彻执行党的路线方针政策，坚持社会主义办学方向，坚持立德树人，按照《湖南工程学院章程》，依法治校，依靠全校师生员工推动学校科学发展，培养德智体美全面发展的中国特色社会主义事业合格建设者和可靠接班人。</w:t>
      </w:r>
    </w:p>
    <w:p>
      <w:pPr>
        <w:pStyle w:val="14"/>
        <w:ind w:firstLine="640" w:firstLineChars="200"/>
        <w:rPr>
          <w:rFonts w:ascii="Times New Roman" w:hAnsi="Times New Roman" w:eastAsia="仿宋" w:cs="Times New Roman"/>
          <w:bCs/>
          <w:color w:val="auto"/>
          <w:sz w:val="32"/>
          <w:szCs w:val="32"/>
          <w:highlight w:val="none"/>
        </w:rPr>
      </w:pPr>
      <w:r>
        <w:rPr>
          <w:rFonts w:ascii="Times New Roman" w:hAnsi="Times New Roman" w:eastAsia="仿宋" w:cs="Times New Roman"/>
          <w:bCs/>
          <w:color w:val="auto"/>
          <w:sz w:val="32"/>
          <w:szCs w:val="32"/>
          <w:highlight w:val="none"/>
        </w:rPr>
        <w:t>2.</w:t>
      </w:r>
      <w:r>
        <w:rPr>
          <w:rFonts w:hint="eastAsia" w:ascii="Times New Roman" w:hAnsi="Times New Roman" w:eastAsia="仿宋" w:cs="Times New Roman"/>
          <w:bCs/>
          <w:color w:val="auto"/>
          <w:sz w:val="32"/>
          <w:szCs w:val="32"/>
          <w:highlight w:val="none"/>
        </w:rPr>
        <w:t>贯彻落实国家关于教育工作的法律、法规和地方性教育法规。</w:t>
      </w:r>
    </w:p>
    <w:p>
      <w:pPr>
        <w:pStyle w:val="14"/>
        <w:ind w:firstLine="640" w:firstLineChars="200"/>
        <w:rPr>
          <w:rFonts w:ascii="Times New Roman" w:hAnsi="Times New Roman" w:eastAsia="仿宋" w:cs="Times New Roman"/>
          <w:bCs/>
          <w:color w:val="auto"/>
          <w:sz w:val="32"/>
          <w:szCs w:val="32"/>
          <w:highlight w:val="none"/>
        </w:rPr>
      </w:pPr>
      <w:r>
        <w:rPr>
          <w:rFonts w:ascii="Times New Roman" w:hAnsi="Times New Roman" w:eastAsia="仿宋" w:cs="Times New Roman"/>
          <w:bCs/>
          <w:color w:val="auto"/>
          <w:sz w:val="32"/>
          <w:szCs w:val="32"/>
          <w:highlight w:val="none"/>
        </w:rPr>
        <w:t>3.</w:t>
      </w:r>
      <w:r>
        <w:rPr>
          <w:rFonts w:hint="eastAsia" w:ascii="Times New Roman" w:hAnsi="Times New Roman" w:eastAsia="仿宋" w:cs="Times New Roman"/>
          <w:bCs/>
          <w:color w:val="auto"/>
          <w:sz w:val="32"/>
          <w:szCs w:val="32"/>
          <w:highlight w:val="none"/>
        </w:rPr>
        <w:t>负责学校人才发展规划、重要人才政策和重大人才工程计划以及教师队伍建设。</w:t>
      </w:r>
    </w:p>
    <w:p>
      <w:pPr>
        <w:autoSpaceDE w:val="0"/>
        <w:spacing w:line="560" w:lineRule="exact"/>
        <w:ind w:firstLine="640" w:firstLineChars="200"/>
        <w:rPr>
          <w:rFonts w:eastAsia="仿宋"/>
          <w:bCs/>
          <w:kern w:val="0"/>
          <w:sz w:val="32"/>
          <w:szCs w:val="32"/>
          <w:highlight w:val="none"/>
        </w:rPr>
      </w:pPr>
      <w:r>
        <w:rPr>
          <w:rFonts w:eastAsia="仿宋"/>
          <w:bCs/>
          <w:kern w:val="0"/>
          <w:sz w:val="32"/>
          <w:szCs w:val="32"/>
          <w:highlight w:val="none"/>
        </w:rPr>
        <w:t>4.</w:t>
      </w:r>
      <w:r>
        <w:rPr>
          <w:rFonts w:hint="eastAsia" w:eastAsia="仿宋"/>
          <w:bCs/>
          <w:kern w:val="0"/>
          <w:sz w:val="32"/>
          <w:szCs w:val="32"/>
          <w:highlight w:val="none"/>
        </w:rPr>
        <w:t xml:space="preserve">负责开展教学活动和科学研究，创新人才培养机制，提高人才培养质量，推进文化传承创新，服务国家和地方经济社会发展。 </w:t>
      </w:r>
    </w:p>
    <w:p>
      <w:pPr>
        <w:autoSpaceDE w:val="0"/>
        <w:spacing w:line="560" w:lineRule="exact"/>
        <w:ind w:firstLine="640" w:firstLineChars="200"/>
        <w:rPr>
          <w:rFonts w:eastAsia="仿宋"/>
          <w:bCs/>
          <w:kern w:val="0"/>
          <w:sz w:val="32"/>
          <w:szCs w:val="32"/>
          <w:highlight w:val="none"/>
        </w:rPr>
      </w:pPr>
      <w:r>
        <w:rPr>
          <w:rFonts w:eastAsia="仿宋"/>
          <w:bCs/>
          <w:kern w:val="0"/>
          <w:sz w:val="32"/>
          <w:szCs w:val="32"/>
          <w:highlight w:val="none"/>
        </w:rPr>
        <w:t>5.</w:t>
      </w:r>
      <w:r>
        <w:rPr>
          <w:rFonts w:hint="eastAsia" w:eastAsia="仿宋"/>
          <w:bCs/>
          <w:kern w:val="0"/>
          <w:sz w:val="32"/>
          <w:szCs w:val="32"/>
          <w:highlight w:val="none"/>
        </w:rPr>
        <w:t>负责学校重大基本建设，加强财务管理和审计监督，管理和保护学校资产；</w:t>
      </w:r>
    </w:p>
    <w:p>
      <w:pPr>
        <w:autoSpaceDE w:val="0"/>
        <w:spacing w:line="560" w:lineRule="exact"/>
        <w:ind w:firstLine="569" w:firstLineChars="178"/>
        <w:rPr>
          <w:rFonts w:ascii="仿宋_GB2312" w:hAnsi="宋体" w:eastAsia="仿宋_GB2312" w:cs="宋体"/>
          <w:color w:val="000000"/>
          <w:kern w:val="0"/>
          <w:sz w:val="32"/>
          <w:szCs w:val="32"/>
          <w:highlight w:val="none"/>
        </w:rPr>
      </w:pPr>
      <w:r>
        <w:rPr>
          <w:rFonts w:eastAsia="仿宋"/>
          <w:bCs/>
          <w:kern w:val="0"/>
          <w:sz w:val="32"/>
          <w:szCs w:val="32"/>
          <w:highlight w:val="none"/>
        </w:rPr>
        <w:t>6.</w:t>
      </w:r>
      <w:r>
        <w:rPr>
          <w:rFonts w:hint="eastAsia" w:eastAsia="仿宋"/>
          <w:bCs/>
          <w:kern w:val="0"/>
          <w:sz w:val="32"/>
          <w:szCs w:val="32"/>
          <w:highlight w:val="none"/>
        </w:rPr>
        <w:t>负责开展思想品德教育，坚持用中国特色社会主义理论体系武装师生员工头脑，培育和践行社会主义核心价值观，牢牢掌握学校意识形态工作的领导权、管理权、话语权。维护学校安全稳定，促进和谐校园建设。</w:t>
      </w:r>
    </w:p>
    <w:p>
      <w:pPr>
        <w:autoSpaceDE w:val="0"/>
        <w:spacing w:line="560" w:lineRule="exact"/>
        <w:ind w:firstLine="640" w:firstLineChars="200"/>
        <w:rPr>
          <w:rFonts w:eastAsia="仿宋"/>
          <w:bCs/>
          <w:kern w:val="0"/>
          <w:sz w:val="32"/>
          <w:szCs w:val="32"/>
          <w:highlight w:val="none"/>
        </w:rPr>
      </w:pPr>
      <w:r>
        <w:rPr>
          <w:rFonts w:eastAsia="仿宋"/>
          <w:bCs/>
          <w:kern w:val="0"/>
          <w:sz w:val="32"/>
          <w:szCs w:val="32"/>
          <w:highlight w:val="none"/>
        </w:rPr>
        <w:t>7.</w:t>
      </w:r>
      <w:r>
        <w:rPr>
          <w:rFonts w:eastAsia="仿宋"/>
          <w:color w:val="333333"/>
          <w:sz w:val="32"/>
          <w:szCs w:val="32"/>
          <w:highlight w:val="none"/>
          <w:shd w:val="clear" w:color="auto" w:fill="FFFFFF"/>
        </w:rPr>
        <w:t>贯彻执行国家有关普通高校招生就业的政策、法规，落实招生计划并完成招生任务，做好毕业生就业指导与服务工作，提高学校生源质量，提高毕业生就业率和就业质量。</w:t>
      </w:r>
    </w:p>
    <w:p>
      <w:pPr>
        <w:autoSpaceDE w:val="0"/>
        <w:spacing w:line="560" w:lineRule="exact"/>
        <w:ind w:firstLine="640" w:firstLineChars="200"/>
        <w:rPr>
          <w:rFonts w:eastAsia="仿宋"/>
          <w:bCs/>
          <w:kern w:val="0"/>
          <w:sz w:val="32"/>
          <w:szCs w:val="32"/>
          <w:highlight w:val="none"/>
        </w:rPr>
      </w:pPr>
      <w:r>
        <w:rPr>
          <w:rFonts w:hint="eastAsia" w:eastAsia="仿宋"/>
          <w:bCs/>
          <w:kern w:val="0"/>
          <w:sz w:val="32"/>
          <w:szCs w:val="32"/>
          <w:highlight w:val="none"/>
        </w:rPr>
        <w:t>8</w:t>
      </w:r>
      <w:r>
        <w:rPr>
          <w:rFonts w:eastAsia="仿宋"/>
          <w:bCs/>
          <w:kern w:val="0"/>
          <w:sz w:val="32"/>
          <w:szCs w:val="32"/>
          <w:highlight w:val="none"/>
        </w:rPr>
        <w:t>.</w:t>
      </w:r>
      <w:r>
        <w:rPr>
          <w:rFonts w:hint="eastAsia" w:eastAsia="仿宋"/>
          <w:bCs/>
          <w:kern w:val="0"/>
          <w:sz w:val="32"/>
          <w:szCs w:val="32"/>
          <w:highlight w:val="none"/>
        </w:rPr>
        <w:t>负责开展学校对外交流与合作，依法代表学校与各级政府、社会各界和境外机构等签署合作协议，接受社会捐赠。</w:t>
      </w:r>
    </w:p>
    <w:p>
      <w:pPr>
        <w:autoSpaceDE w:val="0"/>
        <w:spacing w:line="560" w:lineRule="exact"/>
        <w:ind w:firstLine="640" w:firstLineChars="200"/>
        <w:rPr>
          <w:rFonts w:eastAsia="仿宋"/>
          <w:bCs/>
          <w:kern w:val="0"/>
          <w:sz w:val="32"/>
          <w:szCs w:val="32"/>
          <w:highlight w:val="none"/>
        </w:rPr>
      </w:pPr>
      <w:r>
        <w:rPr>
          <w:rFonts w:hint="eastAsia" w:eastAsia="仿宋"/>
          <w:bCs/>
          <w:kern w:val="0"/>
          <w:sz w:val="32"/>
          <w:szCs w:val="32"/>
          <w:highlight w:val="none"/>
        </w:rPr>
        <w:t>9</w:t>
      </w:r>
      <w:r>
        <w:rPr>
          <w:rFonts w:eastAsia="仿宋"/>
          <w:bCs/>
          <w:kern w:val="0"/>
          <w:sz w:val="32"/>
          <w:szCs w:val="32"/>
          <w:highlight w:val="none"/>
        </w:rPr>
        <w:t>.</w:t>
      </w:r>
      <w:r>
        <w:rPr>
          <w:rFonts w:hint="eastAsia" w:eastAsia="仿宋"/>
          <w:bCs/>
          <w:kern w:val="0"/>
          <w:sz w:val="32"/>
          <w:szCs w:val="32"/>
          <w:highlight w:val="none"/>
        </w:rPr>
        <w:t>负责按照有关规定管理和筹措本单位的教学、科研经费和其他资金，并在学校授权范围内，管理和使用有关资产，维护资产安全。</w:t>
      </w:r>
    </w:p>
    <w:p>
      <w:pPr>
        <w:autoSpaceDE w:val="0"/>
        <w:spacing w:line="560" w:lineRule="exact"/>
        <w:ind w:firstLine="569" w:firstLineChars="178"/>
        <w:rPr>
          <w:rFonts w:ascii="仿宋_GB2312" w:hAnsi="宋体" w:eastAsia="仿宋_GB2312" w:cs="宋体"/>
          <w:color w:val="000000"/>
          <w:kern w:val="0"/>
          <w:sz w:val="32"/>
          <w:szCs w:val="32"/>
          <w:highlight w:val="none"/>
        </w:rPr>
      </w:pPr>
      <w:r>
        <w:rPr>
          <w:rFonts w:hint="eastAsia" w:eastAsia="仿宋"/>
          <w:bCs/>
          <w:kern w:val="0"/>
          <w:sz w:val="32"/>
          <w:szCs w:val="32"/>
          <w:highlight w:val="none"/>
        </w:rPr>
        <w:t>10</w:t>
      </w:r>
      <w:r>
        <w:rPr>
          <w:rFonts w:eastAsia="仿宋"/>
          <w:bCs/>
          <w:kern w:val="0"/>
          <w:sz w:val="32"/>
          <w:szCs w:val="32"/>
          <w:highlight w:val="none"/>
        </w:rPr>
        <w:t>.</w:t>
      </w:r>
      <w:r>
        <w:rPr>
          <w:rFonts w:hint="eastAsia" w:eastAsia="仿宋"/>
          <w:bCs/>
          <w:kern w:val="0"/>
          <w:sz w:val="32"/>
          <w:szCs w:val="32"/>
          <w:highlight w:val="none"/>
        </w:rPr>
        <w:t>负责学校工会、共青团、学生会等群众组织和教职工代表大会。做好统一战线工作。</w:t>
      </w:r>
    </w:p>
    <w:p>
      <w:pPr>
        <w:pStyle w:val="8"/>
        <w:rPr>
          <w:rFonts w:hint="eastAsia"/>
          <w:highlight w:val="none"/>
        </w:rPr>
      </w:pPr>
    </w:p>
    <w:p>
      <w:pPr>
        <w:widowControl/>
        <w:spacing w:line="600" w:lineRule="exact"/>
        <w:ind w:firstLine="640" w:firstLineChars="200"/>
        <w:rPr>
          <w:rFonts w:hint="eastAsia" w:ascii="黑体" w:hAnsi="黑体" w:eastAsia="黑体" w:cs="黑体"/>
          <w:b w:val="0"/>
          <w:bCs/>
          <w:kern w:val="0"/>
          <w:sz w:val="32"/>
          <w:szCs w:val="32"/>
          <w:highlight w:val="none"/>
        </w:rPr>
      </w:pPr>
      <w:r>
        <w:rPr>
          <w:rFonts w:hint="eastAsia" w:ascii="黑体" w:hAnsi="黑体" w:eastAsia="黑体" w:cs="黑体"/>
          <w:b w:val="0"/>
          <w:bCs/>
          <w:kern w:val="0"/>
          <w:sz w:val="32"/>
          <w:szCs w:val="32"/>
          <w:highlight w:val="none"/>
        </w:rPr>
        <w:t>二、机构设置及决算单位构成</w:t>
      </w:r>
    </w:p>
    <w:p>
      <w:pPr>
        <w:widowControl/>
        <w:spacing w:line="560" w:lineRule="exact"/>
        <w:ind w:firstLine="640" w:firstLineChars="200"/>
        <w:rPr>
          <w:rFonts w:hint="eastAsia" w:ascii="Times New Roman" w:hAnsi="Times New Roman" w:eastAsia="仿宋_GB2312" w:cs="仿宋_GB2312"/>
          <w:bCs/>
          <w:kern w:val="0"/>
          <w:sz w:val="32"/>
          <w:szCs w:val="32"/>
          <w:highlight w:val="none"/>
          <w:lang w:eastAsia="zh-CN"/>
        </w:rPr>
      </w:pPr>
      <w:r>
        <w:rPr>
          <w:rFonts w:hint="eastAsia" w:ascii="Times New Roman" w:hAnsi="Times New Roman" w:eastAsia="仿宋_GB2312" w:cs="仿宋_GB2312"/>
          <w:bCs/>
          <w:kern w:val="0"/>
          <w:sz w:val="32"/>
          <w:szCs w:val="32"/>
          <w:highlight w:val="none"/>
        </w:rPr>
        <w:t>（一）内设机构设置。</w:t>
      </w:r>
      <w:r>
        <w:rPr>
          <w:rFonts w:hint="eastAsia" w:eastAsia="仿宋"/>
          <w:bCs/>
          <w:kern w:val="0"/>
          <w:sz w:val="32"/>
          <w:szCs w:val="32"/>
          <w:highlight w:val="none"/>
        </w:rPr>
        <w:t>湖南工程学院内设机构</w:t>
      </w:r>
      <w:r>
        <w:rPr>
          <w:rFonts w:hint="eastAsia" w:eastAsia="仿宋"/>
          <w:bCs/>
          <w:kern w:val="0"/>
          <w:sz w:val="32"/>
          <w:szCs w:val="32"/>
          <w:highlight w:val="none"/>
          <w:lang w:val="en-US" w:eastAsia="zh-CN"/>
        </w:rPr>
        <w:t>44</w:t>
      </w:r>
      <w:r>
        <w:rPr>
          <w:rFonts w:hint="eastAsia" w:eastAsia="仿宋"/>
          <w:bCs/>
          <w:kern w:val="0"/>
          <w:sz w:val="32"/>
          <w:szCs w:val="32"/>
          <w:highlight w:val="none"/>
        </w:rPr>
        <w:t>个，其中：教学科研机构</w:t>
      </w:r>
      <w:r>
        <w:rPr>
          <w:rFonts w:hint="eastAsia" w:eastAsia="仿宋"/>
          <w:bCs/>
          <w:kern w:val="0"/>
          <w:sz w:val="32"/>
          <w:szCs w:val="32"/>
          <w:highlight w:val="none"/>
          <w:lang w:val="en-US" w:eastAsia="zh-CN"/>
        </w:rPr>
        <w:t>18</w:t>
      </w:r>
      <w:r>
        <w:rPr>
          <w:rFonts w:hint="eastAsia" w:eastAsia="仿宋"/>
          <w:bCs/>
          <w:kern w:val="0"/>
          <w:sz w:val="32"/>
          <w:szCs w:val="32"/>
          <w:highlight w:val="none"/>
        </w:rPr>
        <w:t>个，党政管理机构</w:t>
      </w:r>
      <w:r>
        <w:rPr>
          <w:rFonts w:hint="eastAsia" w:eastAsia="仿宋"/>
          <w:bCs/>
          <w:kern w:val="0"/>
          <w:sz w:val="32"/>
          <w:szCs w:val="32"/>
          <w:highlight w:val="none"/>
          <w:lang w:val="en-US" w:eastAsia="zh-CN"/>
        </w:rPr>
        <w:t>19</w:t>
      </w:r>
      <w:r>
        <w:rPr>
          <w:rFonts w:hint="eastAsia" w:eastAsia="仿宋"/>
          <w:bCs/>
          <w:kern w:val="0"/>
          <w:sz w:val="32"/>
          <w:szCs w:val="32"/>
          <w:highlight w:val="none"/>
        </w:rPr>
        <w:t>个，群团组织</w:t>
      </w:r>
      <w:r>
        <w:rPr>
          <w:rFonts w:hint="eastAsia" w:eastAsia="仿宋"/>
          <w:bCs/>
          <w:kern w:val="0"/>
          <w:sz w:val="32"/>
          <w:szCs w:val="32"/>
          <w:highlight w:val="none"/>
          <w:lang w:val="en-US" w:eastAsia="zh-CN"/>
        </w:rPr>
        <w:t>2</w:t>
      </w:r>
      <w:r>
        <w:rPr>
          <w:rFonts w:hint="eastAsia" w:eastAsia="仿宋"/>
          <w:bCs/>
          <w:kern w:val="0"/>
          <w:sz w:val="32"/>
          <w:szCs w:val="32"/>
          <w:highlight w:val="none"/>
        </w:rPr>
        <w:t>个，教辅机构</w:t>
      </w:r>
      <w:r>
        <w:rPr>
          <w:rFonts w:hint="eastAsia" w:eastAsia="仿宋"/>
          <w:bCs/>
          <w:kern w:val="0"/>
          <w:sz w:val="32"/>
          <w:szCs w:val="32"/>
          <w:highlight w:val="none"/>
          <w:lang w:val="en-US" w:eastAsia="zh-CN"/>
        </w:rPr>
        <w:t>5</w:t>
      </w:r>
      <w:r>
        <w:rPr>
          <w:rFonts w:hint="eastAsia" w:eastAsia="仿宋"/>
          <w:bCs/>
          <w:kern w:val="0"/>
          <w:sz w:val="32"/>
          <w:szCs w:val="32"/>
          <w:highlight w:val="none"/>
        </w:rPr>
        <w:t>个。</w:t>
      </w:r>
    </w:p>
    <w:p>
      <w:pPr>
        <w:widowControl/>
        <w:spacing w:line="600" w:lineRule="exact"/>
        <w:ind w:firstLine="640" w:firstLineChars="200"/>
        <w:rPr>
          <w:rFonts w:hint="eastAsia" w:ascii="Times New Roman" w:hAnsi="Times New Roman" w:eastAsia="仿宋_GB2312" w:cs="仿宋_GB2312"/>
          <w:bCs/>
          <w:kern w:val="0"/>
          <w:sz w:val="32"/>
          <w:szCs w:val="32"/>
          <w:highlight w:val="none"/>
          <w:lang w:eastAsia="zh-CN"/>
        </w:rPr>
      </w:pPr>
      <w:r>
        <w:rPr>
          <w:rFonts w:hint="eastAsia" w:ascii="Times New Roman" w:hAnsi="Times New Roman" w:eastAsia="仿宋_GB2312" w:cs="仿宋_GB2312"/>
          <w:bCs/>
          <w:kern w:val="0"/>
          <w:sz w:val="32"/>
          <w:szCs w:val="32"/>
          <w:highlight w:val="none"/>
        </w:rPr>
        <w:t>（二）决算单位构成。</w:t>
      </w:r>
      <w:r>
        <w:rPr>
          <w:rFonts w:hint="eastAsia" w:ascii="Times New Roman" w:hAnsi="Times New Roman" w:eastAsia="仿宋_GB2312" w:cs="仿宋_GB2312"/>
          <w:bCs/>
          <w:kern w:val="0"/>
          <w:sz w:val="32"/>
          <w:szCs w:val="32"/>
          <w:highlight w:val="none"/>
          <w:lang w:val="en-US" w:eastAsia="zh-CN"/>
        </w:rPr>
        <w:t>湖南工程学院</w:t>
      </w:r>
      <w:r>
        <w:rPr>
          <w:rFonts w:hint="eastAsia" w:ascii="Times New Roman" w:hAnsi="Times New Roman" w:eastAsia="仿宋_GB2312" w:cs="仿宋_GB2312"/>
          <w:bCs/>
          <w:kern w:val="0"/>
          <w:sz w:val="32"/>
          <w:szCs w:val="32"/>
          <w:highlight w:val="none"/>
        </w:rPr>
        <w:t>202</w:t>
      </w:r>
      <w:r>
        <w:rPr>
          <w:rFonts w:hint="eastAsia" w:ascii="Times New Roman" w:hAnsi="Times New Roman" w:eastAsia="仿宋_GB2312" w:cs="仿宋_GB2312"/>
          <w:bCs/>
          <w:kern w:val="0"/>
          <w:sz w:val="32"/>
          <w:szCs w:val="32"/>
          <w:highlight w:val="none"/>
          <w:lang w:val="en-US" w:eastAsia="zh-CN"/>
        </w:rPr>
        <w:t>3</w:t>
      </w:r>
      <w:r>
        <w:rPr>
          <w:rFonts w:hint="eastAsia" w:ascii="Times New Roman" w:hAnsi="Times New Roman" w:eastAsia="仿宋_GB2312" w:cs="仿宋_GB2312"/>
          <w:bCs/>
          <w:kern w:val="0"/>
          <w:sz w:val="32"/>
          <w:szCs w:val="32"/>
          <w:highlight w:val="none"/>
        </w:rPr>
        <w:t>年部门决算汇总公开单位构成包括：</w:t>
      </w:r>
      <w:r>
        <w:rPr>
          <w:rFonts w:hint="eastAsia" w:ascii="Times New Roman" w:hAnsi="Times New Roman" w:eastAsia="仿宋_GB2312" w:cs="仿宋_GB2312"/>
          <w:bCs/>
          <w:kern w:val="0"/>
          <w:sz w:val="32"/>
          <w:szCs w:val="32"/>
          <w:highlight w:val="none"/>
          <w:lang w:val="en-US" w:eastAsia="zh-CN"/>
        </w:rPr>
        <w:t>湖南工程学院</w:t>
      </w:r>
      <w:r>
        <w:rPr>
          <w:rFonts w:hint="eastAsia" w:ascii="Times New Roman" w:hAnsi="Times New Roman" w:eastAsia="仿宋_GB2312" w:cs="仿宋_GB2312"/>
          <w:bCs/>
          <w:kern w:val="0"/>
          <w:sz w:val="32"/>
          <w:szCs w:val="32"/>
          <w:highlight w:val="none"/>
        </w:rPr>
        <w:t>本级</w:t>
      </w:r>
      <w:r>
        <w:rPr>
          <w:rFonts w:hint="eastAsia" w:ascii="Times New Roman" w:hAnsi="Times New Roman" w:eastAsia="仿宋_GB2312" w:cs="仿宋_GB2312"/>
          <w:bCs/>
          <w:kern w:val="0"/>
          <w:sz w:val="32"/>
          <w:szCs w:val="32"/>
          <w:highlight w:val="none"/>
          <w:lang w:eastAsia="zh-CN"/>
        </w:rPr>
        <w:t>。</w:t>
      </w:r>
    </w:p>
    <w:p>
      <w:pPr>
        <w:jc w:val="left"/>
        <w:rPr>
          <w:rFonts w:ascii="仿宋_GB2312" w:eastAsia="仿宋_GB2312" w:hAnsiTheme="minorEastAsia"/>
          <w:sz w:val="28"/>
          <w:szCs w:val="32"/>
          <w:highlight w:val="none"/>
        </w:rPr>
      </w:pPr>
    </w:p>
    <w:p>
      <w:pPr>
        <w:jc w:val="center"/>
        <w:rPr>
          <w:rFonts w:ascii="黑体" w:hAnsi="黑体" w:eastAsia="黑体"/>
          <w:sz w:val="28"/>
          <w:szCs w:val="28"/>
          <w:highlight w:val="none"/>
        </w:rPr>
      </w:pPr>
    </w:p>
    <w:p>
      <w:pPr>
        <w:jc w:val="center"/>
        <w:rPr>
          <w:rFonts w:ascii="黑体" w:hAnsi="黑体" w:eastAsia="黑体"/>
          <w:sz w:val="28"/>
          <w:szCs w:val="28"/>
          <w:highlight w:val="none"/>
        </w:rPr>
      </w:pPr>
    </w:p>
    <w:p>
      <w:pPr>
        <w:jc w:val="center"/>
        <w:rPr>
          <w:rFonts w:ascii="黑体" w:hAnsi="黑体" w:eastAsia="黑体"/>
          <w:sz w:val="28"/>
          <w:szCs w:val="28"/>
          <w:highlight w:val="none"/>
        </w:rPr>
      </w:pPr>
    </w:p>
    <w:p>
      <w:pPr>
        <w:jc w:val="center"/>
        <w:rPr>
          <w:rFonts w:ascii="黑体" w:hAnsi="黑体" w:eastAsia="黑体"/>
          <w:sz w:val="28"/>
          <w:szCs w:val="28"/>
          <w:highlight w:val="none"/>
        </w:rPr>
      </w:pPr>
    </w:p>
    <w:p>
      <w:pPr>
        <w:jc w:val="center"/>
        <w:rPr>
          <w:rFonts w:ascii="黑体" w:hAnsi="黑体" w:eastAsia="黑体"/>
          <w:sz w:val="28"/>
          <w:szCs w:val="28"/>
          <w:highlight w:val="none"/>
        </w:rPr>
      </w:pPr>
    </w:p>
    <w:p>
      <w:pPr>
        <w:jc w:val="center"/>
        <w:rPr>
          <w:rFonts w:ascii="黑体" w:hAnsi="黑体" w:eastAsia="黑体"/>
          <w:sz w:val="28"/>
          <w:szCs w:val="28"/>
          <w:highlight w:val="none"/>
        </w:rPr>
      </w:pPr>
    </w:p>
    <w:p>
      <w:pPr>
        <w:jc w:val="center"/>
        <w:rPr>
          <w:rFonts w:ascii="黑体" w:hAnsi="黑体" w:eastAsia="黑体"/>
          <w:sz w:val="28"/>
          <w:szCs w:val="28"/>
          <w:highlight w:val="none"/>
        </w:rPr>
      </w:pPr>
    </w:p>
    <w:p>
      <w:pPr>
        <w:jc w:val="center"/>
        <w:rPr>
          <w:rFonts w:ascii="黑体" w:hAnsi="黑体" w:eastAsia="黑体"/>
          <w:sz w:val="28"/>
          <w:szCs w:val="28"/>
          <w:highlight w:val="none"/>
        </w:rPr>
      </w:pPr>
    </w:p>
    <w:p>
      <w:pPr>
        <w:pStyle w:val="14"/>
        <w:jc w:val="both"/>
        <w:rPr>
          <w:rFonts w:hint="eastAsia" w:ascii="方正小标宋_GBK" w:hAnsi="方正小标宋_GBK" w:eastAsia="方正小标宋_GBK" w:cs="方正小标宋_GBK"/>
          <w:sz w:val="84"/>
          <w:szCs w:val="84"/>
          <w:highlight w:val="none"/>
        </w:rPr>
      </w:pPr>
    </w:p>
    <w:p>
      <w:pPr>
        <w:pStyle w:val="14"/>
        <w:jc w:val="center"/>
        <w:rPr>
          <w:rFonts w:hint="eastAsia" w:ascii="方正小标宋_GBK" w:hAnsi="方正小标宋_GBK" w:eastAsia="方正小标宋_GBK" w:cs="方正小标宋_GBK"/>
          <w:sz w:val="84"/>
          <w:szCs w:val="84"/>
          <w:highlight w:val="none"/>
        </w:rPr>
      </w:pPr>
      <w:r>
        <w:rPr>
          <w:rFonts w:hint="eastAsia" w:ascii="方正小标宋_GBK" w:hAnsi="方正小标宋_GBK" w:eastAsia="方正小标宋_GBK" w:cs="方正小标宋_GBK"/>
          <w:sz w:val="84"/>
          <w:szCs w:val="84"/>
          <w:highlight w:val="none"/>
        </w:rPr>
        <w:t>第二部分</w:t>
      </w:r>
    </w:p>
    <w:p>
      <w:pPr>
        <w:pStyle w:val="14"/>
        <w:jc w:val="center"/>
        <w:rPr>
          <w:rFonts w:hint="eastAsia" w:ascii="方正小标宋_GBK" w:hAnsi="方正小标宋_GBK" w:eastAsia="方正小标宋_GBK" w:cs="方正小标宋_GBK"/>
          <w:sz w:val="84"/>
          <w:szCs w:val="84"/>
          <w:highlight w:val="none"/>
        </w:rPr>
      </w:pPr>
    </w:p>
    <w:p>
      <w:pPr>
        <w:pStyle w:val="14"/>
        <w:jc w:val="center"/>
        <w:rPr>
          <w:rFonts w:hint="eastAsia" w:ascii="方正小标宋_GBK" w:hAnsi="方正小标宋_GBK" w:eastAsia="方正小标宋_GBK" w:cs="方正小标宋_GBK"/>
          <w:sz w:val="84"/>
          <w:szCs w:val="84"/>
          <w:highlight w:val="none"/>
        </w:rPr>
      </w:pPr>
      <w:r>
        <w:rPr>
          <w:rFonts w:hint="eastAsia" w:ascii="方正小标宋_GBK" w:hAnsi="方正小标宋_GBK" w:eastAsia="方正小标宋_GBK" w:cs="方正小标宋_GBK"/>
          <w:sz w:val="84"/>
          <w:szCs w:val="84"/>
          <w:highlight w:val="none"/>
        </w:rPr>
        <w:t>部门决算表</w:t>
      </w:r>
    </w:p>
    <w:p>
      <w:pPr>
        <w:jc w:val="center"/>
        <w:rPr>
          <w:sz w:val="72"/>
          <w:szCs w:val="72"/>
          <w:highlight w:val="none"/>
        </w:rPr>
      </w:pPr>
    </w:p>
    <w:p>
      <w:pPr>
        <w:jc w:val="center"/>
        <w:rPr>
          <w:sz w:val="72"/>
          <w:szCs w:val="72"/>
          <w:highlight w:val="none"/>
        </w:rPr>
      </w:pPr>
    </w:p>
    <w:p>
      <w:pPr>
        <w:jc w:val="center"/>
        <w:rPr>
          <w:sz w:val="72"/>
          <w:szCs w:val="72"/>
          <w:highlight w:val="none"/>
        </w:rPr>
      </w:pPr>
    </w:p>
    <w:p>
      <w:pPr>
        <w:jc w:val="center"/>
        <w:rPr>
          <w:sz w:val="72"/>
          <w:szCs w:val="72"/>
          <w:highlight w:val="none"/>
        </w:rPr>
      </w:pPr>
    </w:p>
    <w:p>
      <w:pPr>
        <w:jc w:val="center"/>
        <w:rPr>
          <w:sz w:val="72"/>
          <w:szCs w:val="72"/>
          <w:highlight w:val="none"/>
        </w:rPr>
      </w:pPr>
    </w:p>
    <w:p>
      <w:pPr>
        <w:jc w:val="left"/>
        <w:rPr>
          <w:rFonts w:asciiTheme="minorEastAsia" w:hAnsiTheme="minorEastAsia"/>
          <w:sz w:val="32"/>
          <w:szCs w:val="32"/>
          <w:highlight w:val="none"/>
        </w:rPr>
        <w:sectPr>
          <w:pgSz w:w="11906" w:h="16838"/>
          <w:pgMar w:top="720" w:right="720" w:bottom="720" w:left="720" w:header="851" w:footer="992" w:gutter="0"/>
          <w:cols w:space="425" w:num="1"/>
          <w:docGrid w:type="lines" w:linePitch="312" w:charSpace="0"/>
        </w:sectPr>
      </w:pPr>
    </w:p>
    <w:tbl>
      <w:tblPr>
        <w:tblStyle w:val="10"/>
        <w:tblW w:w="1519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145"/>
        <w:gridCol w:w="728"/>
        <w:gridCol w:w="2408"/>
        <w:gridCol w:w="3396"/>
        <w:gridCol w:w="642"/>
        <w:gridCol w:w="38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 w:hRule="atLeast"/>
        </w:trPr>
        <w:tc>
          <w:tcPr>
            <w:tcW w:w="15199" w:type="dxa"/>
            <w:gridSpan w:val="6"/>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0" w:hRule="atLeast"/>
        </w:trPr>
        <w:tc>
          <w:tcPr>
            <w:tcW w:w="414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2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40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39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42"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880"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公开01表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145"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部门：湖南工程学院</w:t>
            </w:r>
          </w:p>
        </w:tc>
        <w:tc>
          <w:tcPr>
            <w:tcW w:w="72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40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39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42"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880"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281" w:type="dxa"/>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收入</w:t>
            </w:r>
          </w:p>
        </w:tc>
        <w:tc>
          <w:tcPr>
            <w:tcW w:w="7918" w:type="dxa"/>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14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728"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2408"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c>
          <w:tcPr>
            <w:tcW w:w="339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642"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388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14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728" w:type="dxa"/>
            <w:tcBorders>
              <w:top w:val="nil"/>
              <w:left w:val="nil"/>
              <w:bottom w:val="single" w:color="D4D4D4" w:sz="4" w:space="0"/>
              <w:right w:val="single" w:color="D4D4D4"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2408"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39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642" w:type="dxa"/>
            <w:tcBorders>
              <w:top w:val="nil"/>
              <w:left w:val="nil"/>
              <w:bottom w:val="single" w:color="D4D4D4" w:sz="4" w:space="0"/>
              <w:right w:val="single" w:color="D4D4D4"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88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14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一、一般公共预算财政拨款收入</w:t>
            </w:r>
          </w:p>
        </w:tc>
        <w:tc>
          <w:tcPr>
            <w:tcW w:w="728"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408"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34,420.14</w:t>
            </w:r>
          </w:p>
        </w:tc>
        <w:tc>
          <w:tcPr>
            <w:tcW w:w="339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一、一般公共服务支出</w:t>
            </w:r>
          </w:p>
        </w:tc>
        <w:tc>
          <w:tcPr>
            <w:tcW w:w="642"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388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89.10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14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二、政府性基金预算财政拨款收入</w:t>
            </w:r>
          </w:p>
        </w:tc>
        <w:tc>
          <w:tcPr>
            <w:tcW w:w="728"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408"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39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二、外交支出</w:t>
            </w:r>
          </w:p>
        </w:tc>
        <w:tc>
          <w:tcPr>
            <w:tcW w:w="642"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388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14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三、国有资本经营预算财政拨款收入</w:t>
            </w:r>
          </w:p>
        </w:tc>
        <w:tc>
          <w:tcPr>
            <w:tcW w:w="728"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408"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39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三、国防支出</w:t>
            </w:r>
          </w:p>
        </w:tc>
        <w:tc>
          <w:tcPr>
            <w:tcW w:w="642"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388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14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四、上级补助收入</w:t>
            </w:r>
          </w:p>
        </w:tc>
        <w:tc>
          <w:tcPr>
            <w:tcW w:w="728"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2408"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39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四、公共安全支出</w:t>
            </w:r>
          </w:p>
        </w:tc>
        <w:tc>
          <w:tcPr>
            <w:tcW w:w="642"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388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14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五、事业收入</w:t>
            </w:r>
          </w:p>
        </w:tc>
        <w:tc>
          <w:tcPr>
            <w:tcW w:w="728"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2408"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27,091.78</w:t>
            </w:r>
          </w:p>
        </w:tc>
        <w:tc>
          <w:tcPr>
            <w:tcW w:w="339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五、教育支出</w:t>
            </w:r>
          </w:p>
        </w:tc>
        <w:tc>
          <w:tcPr>
            <w:tcW w:w="642"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388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63,180.55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14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六、经营收入</w:t>
            </w:r>
          </w:p>
        </w:tc>
        <w:tc>
          <w:tcPr>
            <w:tcW w:w="728"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408"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39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六、科学技术支出</w:t>
            </w:r>
          </w:p>
        </w:tc>
        <w:tc>
          <w:tcPr>
            <w:tcW w:w="642"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388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14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七、附属单位上缴收入</w:t>
            </w:r>
          </w:p>
        </w:tc>
        <w:tc>
          <w:tcPr>
            <w:tcW w:w="728"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2408"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39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七、文化旅游体育与传媒支出</w:t>
            </w:r>
          </w:p>
        </w:tc>
        <w:tc>
          <w:tcPr>
            <w:tcW w:w="642"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388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14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八、其他收入</w:t>
            </w:r>
          </w:p>
        </w:tc>
        <w:tc>
          <w:tcPr>
            <w:tcW w:w="728"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2408"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6,143.38</w:t>
            </w:r>
          </w:p>
        </w:tc>
        <w:tc>
          <w:tcPr>
            <w:tcW w:w="339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八、社会保障和就业支出</w:t>
            </w:r>
          </w:p>
        </w:tc>
        <w:tc>
          <w:tcPr>
            <w:tcW w:w="642"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388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145"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728"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2408"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39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九、卫生健康支出</w:t>
            </w:r>
          </w:p>
        </w:tc>
        <w:tc>
          <w:tcPr>
            <w:tcW w:w="642"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388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145"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728"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2408"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39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十、节能环保支出</w:t>
            </w:r>
          </w:p>
        </w:tc>
        <w:tc>
          <w:tcPr>
            <w:tcW w:w="642"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388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145"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728"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2408"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39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十一、城乡社区支出</w:t>
            </w:r>
          </w:p>
        </w:tc>
        <w:tc>
          <w:tcPr>
            <w:tcW w:w="642"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388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145"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728"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2408"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39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十二、农林水支出</w:t>
            </w:r>
          </w:p>
        </w:tc>
        <w:tc>
          <w:tcPr>
            <w:tcW w:w="642"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388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145"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728"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2408"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39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十三、交通运输支出</w:t>
            </w:r>
          </w:p>
        </w:tc>
        <w:tc>
          <w:tcPr>
            <w:tcW w:w="642"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388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145"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728"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2408"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39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十四、资源勘探工业信息等支出</w:t>
            </w:r>
          </w:p>
        </w:tc>
        <w:tc>
          <w:tcPr>
            <w:tcW w:w="642"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388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145"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728"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2408"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39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十五、商业服务业等支出</w:t>
            </w:r>
          </w:p>
        </w:tc>
        <w:tc>
          <w:tcPr>
            <w:tcW w:w="642"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388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145"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728"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2408"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39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十六、金融支出</w:t>
            </w:r>
          </w:p>
        </w:tc>
        <w:tc>
          <w:tcPr>
            <w:tcW w:w="642"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388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145"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728"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2408"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39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十七、援助其他地区支出</w:t>
            </w:r>
          </w:p>
        </w:tc>
        <w:tc>
          <w:tcPr>
            <w:tcW w:w="642"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388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145"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728"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2408"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39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十八、自然资源海洋气象等支出</w:t>
            </w:r>
          </w:p>
        </w:tc>
        <w:tc>
          <w:tcPr>
            <w:tcW w:w="642"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388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145"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728"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2408"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39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十九、住房保障支出</w:t>
            </w:r>
          </w:p>
        </w:tc>
        <w:tc>
          <w:tcPr>
            <w:tcW w:w="642"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388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145"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728"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2408"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39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二十、粮油物资储备支出</w:t>
            </w:r>
          </w:p>
        </w:tc>
        <w:tc>
          <w:tcPr>
            <w:tcW w:w="642"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388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145"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728"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2408"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39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二十一、国有资本经营预算支出</w:t>
            </w:r>
          </w:p>
        </w:tc>
        <w:tc>
          <w:tcPr>
            <w:tcW w:w="642"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388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145"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728"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2408"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39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二十二、灾害防治及应急管理支出</w:t>
            </w:r>
          </w:p>
        </w:tc>
        <w:tc>
          <w:tcPr>
            <w:tcW w:w="642"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w:t>
            </w:r>
          </w:p>
        </w:tc>
        <w:tc>
          <w:tcPr>
            <w:tcW w:w="388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145"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728"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2408"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39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二十三、其他支出</w:t>
            </w:r>
          </w:p>
        </w:tc>
        <w:tc>
          <w:tcPr>
            <w:tcW w:w="642"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w:t>
            </w:r>
          </w:p>
        </w:tc>
        <w:tc>
          <w:tcPr>
            <w:tcW w:w="388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145" w:type="dxa"/>
            <w:tcBorders>
              <w:top w:val="nil"/>
              <w:left w:val="nil"/>
              <w:bottom w:val="single" w:color="D4D4D4" w:sz="4" w:space="0"/>
              <w:right w:val="single" w:color="D4D4D4"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728"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2408"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339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二十四、债务还本支出</w:t>
            </w:r>
          </w:p>
        </w:tc>
        <w:tc>
          <w:tcPr>
            <w:tcW w:w="642"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w:t>
            </w:r>
          </w:p>
        </w:tc>
        <w:tc>
          <w:tcPr>
            <w:tcW w:w="388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145"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728"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2408"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339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二十五、债务付息支出</w:t>
            </w:r>
          </w:p>
        </w:tc>
        <w:tc>
          <w:tcPr>
            <w:tcW w:w="642"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c>
          <w:tcPr>
            <w:tcW w:w="388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145"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728"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2408"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339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二十六、抗疫特别国债安排的支出</w:t>
            </w:r>
          </w:p>
        </w:tc>
        <w:tc>
          <w:tcPr>
            <w:tcW w:w="642"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w:t>
            </w:r>
          </w:p>
        </w:tc>
        <w:tc>
          <w:tcPr>
            <w:tcW w:w="388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14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本年收入合计</w:t>
            </w:r>
          </w:p>
        </w:tc>
        <w:tc>
          <w:tcPr>
            <w:tcW w:w="728"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2408"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67,655.30</w:t>
            </w:r>
          </w:p>
        </w:tc>
        <w:tc>
          <w:tcPr>
            <w:tcW w:w="339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本年支出合计</w:t>
            </w:r>
          </w:p>
        </w:tc>
        <w:tc>
          <w:tcPr>
            <w:tcW w:w="642"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388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63,690.59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14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使用非财政拨款结余和专用结余</w:t>
            </w:r>
          </w:p>
        </w:tc>
        <w:tc>
          <w:tcPr>
            <w:tcW w:w="728"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2408"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1,049.45</w:t>
            </w:r>
          </w:p>
        </w:tc>
        <w:tc>
          <w:tcPr>
            <w:tcW w:w="339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结余分配</w:t>
            </w:r>
          </w:p>
        </w:tc>
        <w:tc>
          <w:tcPr>
            <w:tcW w:w="642"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w:t>
            </w:r>
          </w:p>
        </w:tc>
        <w:tc>
          <w:tcPr>
            <w:tcW w:w="388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4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年初结转和结余</w:t>
            </w:r>
          </w:p>
        </w:tc>
        <w:tc>
          <w:tcPr>
            <w:tcW w:w="728"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2408"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1,848.81</w:t>
            </w:r>
          </w:p>
        </w:tc>
        <w:tc>
          <w:tcPr>
            <w:tcW w:w="339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年末结转和结余</w:t>
            </w:r>
          </w:p>
        </w:tc>
        <w:tc>
          <w:tcPr>
            <w:tcW w:w="642"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388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6,862.97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145"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728"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2408"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396"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642"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w:t>
            </w:r>
          </w:p>
        </w:tc>
        <w:tc>
          <w:tcPr>
            <w:tcW w:w="3880"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4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728"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2408"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70,553.57</w:t>
            </w:r>
          </w:p>
        </w:tc>
        <w:tc>
          <w:tcPr>
            <w:tcW w:w="339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642"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w:t>
            </w:r>
          </w:p>
        </w:tc>
        <w:tc>
          <w:tcPr>
            <w:tcW w:w="388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70,553.57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5199" w:type="dxa"/>
            <w:gridSpan w:val="6"/>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注：1.本表反映部门本年度的总收支和年末结转结余情况。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5199" w:type="dxa"/>
            <w:gridSpan w:val="6"/>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2.本套报表金额单位转换时可能存在尾数误差。</w:t>
            </w:r>
          </w:p>
        </w:tc>
      </w:tr>
    </w:tbl>
    <w:p>
      <w:pPr>
        <w:jc w:val="left"/>
        <w:rPr>
          <w:rFonts w:hint="eastAsia" w:ascii="黑体" w:hAnsi="宋体" w:eastAsia="黑体" w:cs="黑体"/>
          <w:i w:val="0"/>
          <w:color w:val="000000"/>
          <w:sz w:val="24"/>
          <w:szCs w:val="24"/>
          <w:highlight w:val="none"/>
          <w:u w:val="none"/>
        </w:rPr>
      </w:pPr>
    </w:p>
    <w:p>
      <w:pPr>
        <w:pStyle w:val="2"/>
        <w:rPr>
          <w:rFonts w:hint="eastAsia" w:ascii="黑体" w:hAnsi="宋体" w:eastAsia="黑体" w:cs="黑体"/>
          <w:i w:val="0"/>
          <w:color w:val="000000"/>
          <w:sz w:val="24"/>
          <w:szCs w:val="24"/>
          <w:highlight w:val="none"/>
          <w:u w:val="none"/>
        </w:rPr>
      </w:pPr>
    </w:p>
    <w:p>
      <w:pPr>
        <w:pStyle w:val="2"/>
        <w:rPr>
          <w:rFonts w:hint="eastAsia" w:ascii="黑体" w:hAnsi="宋体" w:eastAsia="黑体" w:cs="黑体"/>
          <w:i w:val="0"/>
          <w:color w:val="000000"/>
          <w:sz w:val="24"/>
          <w:szCs w:val="24"/>
          <w:highlight w:val="none"/>
          <w:u w:val="none"/>
        </w:rPr>
      </w:pPr>
    </w:p>
    <w:p>
      <w:pPr>
        <w:pStyle w:val="2"/>
        <w:rPr>
          <w:rFonts w:hint="eastAsia" w:ascii="黑体" w:hAnsi="宋体" w:eastAsia="黑体" w:cs="黑体"/>
          <w:i w:val="0"/>
          <w:color w:val="000000"/>
          <w:sz w:val="24"/>
          <w:szCs w:val="24"/>
          <w:highlight w:val="none"/>
          <w:u w:val="none"/>
        </w:rPr>
      </w:pPr>
    </w:p>
    <w:p>
      <w:pPr>
        <w:pStyle w:val="2"/>
        <w:rPr>
          <w:rFonts w:hint="eastAsia" w:ascii="黑体" w:hAnsi="宋体" w:eastAsia="黑体" w:cs="黑体"/>
          <w:i w:val="0"/>
          <w:color w:val="000000"/>
          <w:sz w:val="24"/>
          <w:szCs w:val="24"/>
          <w:highlight w:val="none"/>
          <w:u w:val="none"/>
        </w:rPr>
      </w:pPr>
    </w:p>
    <w:p>
      <w:pPr>
        <w:pStyle w:val="2"/>
        <w:rPr>
          <w:rFonts w:hint="eastAsia" w:ascii="黑体" w:hAnsi="宋体" w:eastAsia="黑体" w:cs="黑体"/>
          <w:i w:val="0"/>
          <w:color w:val="000000"/>
          <w:sz w:val="24"/>
          <w:szCs w:val="24"/>
          <w:highlight w:val="none"/>
          <w:u w:val="none"/>
        </w:rPr>
      </w:pPr>
    </w:p>
    <w:p>
      <w:pPr>
        <w:pStyle w:val="2"/>
        <w:rPr>
          <w:rFonts w:hint="eastAsia" w:ascii="黑体" w:hAnsi="宋体" w:eastAsia="黑体" w:cs="黑体"/>
          <w:i w:val="0"/>
          <w:color w:val="000000"/>
          <w:sz w:val="24"/>
          <w:szCs w:val="24"/>
          <w:highlight w:val="none"/>
          <w:u w:val="none"/>
        </w:rPr>
      </w:pPr>
    </w:p>
    <w:p>
      <w:pPr>
        <w:pStyle w:val="2"/>
        <w:rPr>
          <w:rFonts w:hint="eastAsia" w:ascii="黑体" w:hAnsi="宋体" w:eastAsia="黑体" w:cs="黑体"/>
          <w:i w:val="0"/>
          <w:color w:val="000000"/>
          <w:sz w:val="24"/>
          <w:szCs w:val="24"/>
          <w:highlight w:val="none"/>
          <w:u w:val="none"/>
        </w:rPr>
      </w:pPr>
    </w:p>
    <w:p>
      <w:pPr>
        <w:pStyle w:val="2"/>
        <w:rPr>
          <w:rFonts w:hint="eastAsia" w:ascii="黑体" w:hAnsi="宋体" w:eastAsia="黑体" w:cs="黑体"/>
          <w:i w:val="0"/>
          <w:color w:val="000000"/>
          <w:sz w:val="24"/>
          <w:szCs w:val="24"/>
          <w:highlight w:val="none"/>
          <w:u w:val="none"/>
        </w:rPr>
      </w:pPr>
    </w:p>
    <w:p>
      <w:pPr>
        <w:pStyle w:val="2"/>
        <w:rPr>
          <w:rFonts w:hint="eastAsia" w:ascii="黑体" w:hAnsi="宋体" w:eastAsia="黑体" w:cs="黑体"/>
          <w:i w:val="0"/>
          <w:color w:val="000000"/>
          <w:sz w:val="24"/>
          <w:szCs w:val="24"/>
          <w:highlight w:val="none"/>
          <w:u w:val="none"/>
        </w:rPr>
      </w:pPr>
    </w:p>
    <w:p>
      <w:pPr>
        <w:pStyle w:val="2"/>
        <w:rPr>
          <w:rFonts w:hint="eastAsia" w:ascii="黑体" w:hAnsi="宋体" w:eastAsia="黑体" w:cs="黑体"/>
          <w:i w:val="0"/>
          <w:color w:val="000000"/>
          <w:sz w:val="24"/>
          <w:szCs w:val="24"/>
          <w:highlight w:val="none"/>
          <w:u w:val="none"/>
        </w:rPr>
      </w:pPr>
    </w:p>
    <w:p>
      <w:pPr>
        <w:pStyle w:val="2"/>
        <w:rPr>
          <w:rFonts w:hint="eastAsia" w:ascii="黑体" w:hAnsi="宋体" w:eastAsia="黑体" w:cs="黑体"/>
          <w:i w:val="0"/>
          <w:color w:val="000000"/>
          <w:sz w:val="24"/>
          <w:szCs w:val="24"/>
          <w:highlight w:val="none"/>
          <w:u w:val="none"/>
        </w:rPr>
      </w:pPr>
    </w:p>
    <w:p>
      <w:pPr>
        <w:pStyle w:val="2"/>
        <w:rPr>
          <w:rFonts w:hint="eastAsia" w:ascii="黑体" w:hAnsi="宋体" w:eastAsia="黑体" w:cs="黑体"/>
          <w:i w:val="0"/>
          <w:color w:val="000000"/>
          <w:sz w:val="24"/>
          <w:szCs w:val="24"/>
          <w:highlight w:val="none"/>
          <w:u w:val="none"/>
        </w:rPr>
      </w:pPr>
    </w:p>
    <w:p>
      <w:pPr>
        <w:pStyle w:val="2"/>
        <w:rPr>
          <w:rFonts w:hint="eastAsia" w:ascii="黑体" w:hAnsi="宋体" w:eastAsia="黑体" w:cs="黑体"/>
          <w:i w:val="0"/>
          <w:color w:val="000000"/>
          <w:sz w:val="24"/>
          <w:szCs w:val="24"/>
          <w:highlight w:val="none"/>
          <w:u w:val="none"/>
        </w:rPr>
      </w:pPr>
    </w:p>
    <w:p>
      <w:pPr>
        <w:pStyle w:val="2"/>
        <w:rPr>
          <w:rFonts w:hint="eastAsia" w:ascii="黑体" w:hAnsi="宋体" w:eastAsia="黑体" w:cs="黑体"/>
          <w:i w:val="0"/>
          <w:color w:val="000000"/>
          <w:sz w:val="24"/>
          <w:szCs w:val="24"/>
          <w:highlight w:val="none"/>
          <w:u w:val="none"/>
        </w:rPr>
      </w:pPr>
    </w:p>
    <w:p>
      <w:pPr>
        <w:pStyle w:val="2"/>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tbl>
      <w:tblPr>
        <w:tblStyle w:val="10"/>
        <w:tblW w:w="151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016"/>
        <w:gridCol w:w="222"/>
        <w:gridCol w:w="222"/>
        <w:gridCol w:w="2636"/>
        <w:gridCol w:w="1737"/>
        <w:gridCol w:w="1737"/>
        <w:gridCol w:w="1087"/>
        <w:gridCol w:w="1737"/>
        <w:gridCol w:w="1024"/>
        <w:gridCol w:w="967"/>
        <w:gridCol w:w="18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5180" w:type="dxa"/>
            <w:gridSpan w:val="11"/>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收入决算表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公开02表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部门：湖南工程学院</w:t>
            </w: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4"/>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1800"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本年收入合计</w:t>
            </w:r>
          </w:p>
        </w:tc>
        <w:tc>
          <w:tcPr>
            <w:tcW w:w="1800"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财政拨款收入</w:t>
            </w:r>
          </w:p>
        </w:tc>
        <w:tc>
          <w:tcPr>
            <w:tcW w:w="1800"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上级补助收入</w:t>
            </w:r>
          </w:p>
        </w:tc>
        <w:tc>
          <w:tcPr>
            <w:tcW w:w="1800"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事业收入</w:t>
            </w:r>
          </w:p>
        </w:tc>
        <w:tc>
          <w:tcPr>
            <w:tcW w:w="1440"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经营收入</w:t>
            </w:r>
          </w:p>
        </w:tc>
        <w:tc>
          <w:tcPr>
            <w:tcW w:w="1110"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附属单位上缴收入</w:t>
            </w:r>
          </w:p>
        </w:tc>
        <w:tc>
          <w:tcPr>
            <w:tcW w:w="1800"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gridSpan w:val="3"/>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0" w:type="auto"/>
            <w:vMerge w:val="restart"/>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80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44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1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gridSpan w:val="3"/>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nil"/>
              <w:left w:val="nil"/>
              <w:bottom w:val="single" w:color="D4D4D4" w:sz="4" w:space="0"/>
              <w:right w:val="single" w:color="D4D4D4"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44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1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gridSpan w:val="3"/>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nil"/>
              <w:left w:val="nil"/>
              <w:bottom w:val="single" w:color="D4D4D4" w:sz="4" w:space="0"/>
              <w:right w:val="single" w:color="D4D4D4"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44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1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4"/>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1800" w:type="dxa"/>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800" w:type="dxa"/>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800" w:type="dxa"/>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800" w:type="dxa"/>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440" w:type="dxa"/>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110" w:type="dxa"/>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800" w:type="dxa"/>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4"/>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67,655.30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34,420.14</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27,091.78</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6,143.38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一般公共服务支出</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89.10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89.10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20114</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知识产权事务</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2011499</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其他知识产权事务支出</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20129</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群众团体事务</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2012999</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其他群众团体事务支出</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20138</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市场监督管理事务</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2013899</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其他市场监督管理事务</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教育支出</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67,145.26</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33,910.10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27,091.78</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6,143.38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20502</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普通教育</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60,104.07</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26,910.10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27,050.59</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6,143.38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2050205</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高等教育</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60,104.07</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26,910.10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27,050.59</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6,143.38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20508</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进修及培训</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41.20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41.20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2050803</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培训支出</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41.20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41.20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20599</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其他教育支出</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7,000.00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7,000.00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2059999</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其他教育支出</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7,000.00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7,000.00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科学技术支出</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399.40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399.40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20602</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基础研究</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2060203</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自然科学基金</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20604</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技术研究与开发</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2060404</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科技成果转化与扩散</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20605</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科技条件与服务</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2060599</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其他科技条件与服务支出</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20606</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社会科学</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21.40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21.40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2060603</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社科基金支出</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17.40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17.40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2060699</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其他社会科学支出</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20607</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科学技术普及</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2060704</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学术交流活动</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2060799</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其他科学技术普及支出</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20609</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科技重大项目</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2060902</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重点研发计划</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20699</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其他科学技术支出</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2069901</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科技奖励</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2069999</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其他科学技术支出</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社会保障和就业支出</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21.54</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21.54</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20807</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就业补助</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21.54</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21.54</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2080799</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其他就业补助支出</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21.54</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21.54</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11"/>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注：本表反映部门本年度取得的各项收入情况。</w:t>
            </w:r>
          </w:p>
        </w:tc>
      </w:tr>
    </w:tbl>
    <w:p>
      <w:pPr>
        <w:pStyle w:val="2"/>
        <w:rPr>
          <w:rFonts w:hint="eastAsia" w:ascii="黑体" w:hAnsi="宋体" w:eastAsia="黑体" w:cs="黑体"/>
          <w:i w:val="0"/>
          <w:color w:val="000000"/>
          <w:sz w:val="24"/>
          <w:szCs w:val="24"/>
          <w:highlight w:val="none"/>
          <w:u w:val="none"/>
        </w:rPr>
      </w:pPr>
    </w:p>
    <w:p>
      <w:pPr>
        <w:pStyle w:val="2"/>
        <w:rPr>
          <w:rFonts w:hint="eastAsia" w:ascii="黑体" w:hAnsi="宋体" w:eastAsia="黑体" w:cs="黑体"/>
          <w:i w:val="0"/>
          <w:color w:val="000000"/>
          <w:sz w:val="24"/>
          <w:szCs w:val="24"/>
          <w:highlight w:val="none"/>
          <w:u w:val="none"/>
        </w:rPr>
      </w:pPr>
    </w:p>
    <w:p>
      <w:pPr>
        <w:pStyle w:val="2"/>
        <w:rPr>
          <w:rFonts w:hint="eastAsia" w:ascii="黑体" w:hAnsi="宋体" w:eastAsia="黑体" w:cs="黑体"/>
          <w:i w:val="0"/>
          <w:color w:val="000000"/>
          <w:sz w:val="24"/>
          <w:szCs w:val="24"/>
          <w:highlight w:val="none"/>
          <w:u w:val="none"/>
        </w:rPr>
      </w:pPr>
    </w:p>
    <w:p>
      <w:pPr>
        <w:pStyle w:val="2"/>
        <w:rPr>
          <w:rFonts w:hint="eastAsia" w:ascii="黑体" w:hAnsi="宋体" w:eastAsia="黑体" w:cs="黑体"/>
          <w:i w:val="0"/>
          <w:color w:val="000000"/>
          <w:sz w:val="24"/>
          <w:szCs w:val="24"/>
          <w:highlight w:val="none"/>
          <w:u w:val="none"/>
        </w:rPr>
      </w:pPr>
    </w:p>
    <w:p>
      <w:pPr>
        <w:pStyle w:val="2"/>
        <w:rPr>
          <w:rFonts w:hint="eastAsia" w:ascii="黑体" w:hAnsi="宋体" w:eastAsia="黑体" w:cs="黑体"/>
          <w:i w:val="0"/>
          <w:color w:val="000000"/>
          <w:sz w:val="24"/>
          <w:szCs w:val="24"/>
          <w:highlight w:val="none"/>
          <w:u w:val="none"/>
        </w:rPr>
      </w:pPr>
    </w:p>
    <w:p>
      <w:pPr>
        <w:pStyle w:val="2"/>
        <w:rPr>
          <w:rFonts w:hint="eastAsia" w:ascii="黑体" w:hAnsi="宋体" w:eastAsia="黑体" w:cs="黑体"/>
          <w:i w:val="0"/>
          <w:color w:val="000000"/>
          <w:sz w:val="24"/>
          <w:szCs w:val="24"/>
          <w:highlight w:val="none"/>
          <w:u w:val="none"/>
        </w:rPr>
      </w:pPr>
    </w:p>
    <w:p>
      <w:pPr>
        <w:pStyle w:val="2"/>
        <w:rPr>
          <w:rFonts w:hint="eastAsia" w:ascii="黑体" w:hAnsi="宋体" w:eastAsia="黑体" w:cs="黑体"/>
          <w:i w:val="0"/>
          <w:color w:val="000000"/>
          <w:sz w:val="24"/>
          <w:szCs w:val="24"/>
          <w:highlight w:val="none"/>
          <w:u w:val="none"/>
        </w:rPr>
      </w:pPr>
    </w:p>
    <w:p>
      <w:pPr>
        <w:pStyle w:val="2"/>
        <w:rPr>
          <w:rFonts w:hint="eastAsia" w:ascii="黑体" w:hAnsi="宋体" w:eastAsia="黑体" w:cs="黑体"/>
          <w:i w:val="0"/>
          <w:color w:val="000000"/>
          <w:sz w:val="24"/>
          <w:szCs w:val="24"/>
          <w:highlight w:val="none"/>
          <w:u w:val="none"/>
        </w:rPr>
      </w:pPr>
    </w:p>
    <w:p>
      <w:pPr>
        <w:pStyle w:val="2"/>
        <w:rPr>
          <w:rFonts w:hint="eastAsia" w:ascii="黑体" w:hAnsi="宋体" w:eastAsia="黑体" w:cs="黑体"/>
          <w:i w:val="0"/>
          <w:color w:val="000000"/>
          <w:sz w:val="24"/>
          <w:szCs w:val="24"/>
          <w:highlight w:val="none"/>
          <w:u w:val="none"/>
        </w:rPr>
      </w:pPr>
    </w:p>
    <w:p>
      <w:pPr>
        <w:pStyle w:val="2"/>
        <w:rPr>
          <w:rFonts w:hint="eastAsia" w:ascii="黑体" w:hAnsi="宋体" w:eastAsia="黑体" w:cs="黑体"/>
          <w:i w:val="0"/>
          <w:color w:val="000000"/>
          <w:sz w:val="24"/>
          <w:szCs w:val="24"/>
          <w:highlight w:val="none"/>
          <w:u w:val="none"/>
        </w:rPr>
      </w:pPr>
    </w:p>
    <w:p>
      <w:pPr>
        <w:pStyle w:val="2"/>
        <w:rPr>
          <w:rFonts w:hint="eastAsia" w:ascii="黑体" w:hAnsi="宋体" w:eastAsia="黑体" w:cs="黑体"/>
          <w:i w:val="0"/>
          <w:color w:val="000000"/>
          <w:sz w:val="24"/>
          <w:szCs w:val="24"/>
          <w:highlight w:val="none"/>
          <w:u w:val="none"/>
        </w:rPr>
      </w:pPr>
    </w:p>
    <w:p>
      <w:pPr>
        <w:pStyle w:val="2"/>
        <w:rPr>
          <w:rFonts w:hint="eastAsia" w:ascii="黑体" w:hAnsi="宋体" w:eastAsia="黑体" w:cs="黑体"/>
          <w:i w:val="0"/>
          <w:color w:val="000000"/>
          <w:sz w:val="24"/>
          <w:szCs w:val="24"/>
          <w:highlight w:val="none"/>
          <w:u w:val="none"/>
        </w:rPr>
      </w:pPr>
    </w:p>
    <w:p>
      <w:pPr>
        <w:pStyle w:val="2"/>
        <w:rPr>
          <w:rFonts w:hint="eastAsia" w:ascii="黑体" w:hAnsi="宋体" w:eastAsia="黑体" w:cs="黑体"/>
          <w:i w:val="0"/>
          <w:color w:val="000000"/>
          <w:sz w:val="24"/>
          <w:szCs w:val="24"/>
          <w:highlight w:val="none"/>
          <w:u w:val="none"/>
        </w:rPr>
      </w:pPr>
    </w:p>
    <w:p>
      <w:pPr>
        <w:pStyle w:val="2"/>
        <w:rPr>
          <w:rFonts w:hint="eastAsia" w:ascii="黑体" w:hAnsi="宋体" w:eastAsia="黑体" w:cs="黑体"/>
          <w:i w:val="0"/>
          <w:color w:val="000000"/>
          <w:sz w:val="24"/>
          <w:szCs w:val="24"/>
          <w:highlight w:val="none"/>
          <w:u w:val="none"/>
        </w:rPr>
      </w:pPr>
    </w:p>
    <w:p>
      <w:pPr>
        <w:pStyle w:val="2"/>
        <w:rPr>
          <w:rFonts w:hint="eastAsia" w:ascii="黑体" w:hAnsi="宋体" w:eastAsia="黑体" w:cs="黑体"/>
          <w:i w:val="0"/>
          <w:color w:val="000000"/>
          <w:sz w:val="24"/>
          <w:szCs w:val="24"/>
          <w:highlight w:val="none"/>
          <w:u w:val="none"/>
        </w:rPr>
      </w:pPr>
    </w:p>
    <w:tbl>
      <w:tblPr>
        <w:tblStyle w:val="10"/>
        <w:tblW w:w="157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016"/>
        <w:gridCol w:w="222"/>
        <w:gridCol w:w="222"/>
        <w:gridCol w:w="2636"/>
        <w:gridCol w:w="1800"/>
        <w:gridCol w:w="1800"/>
        <w:gridCol w:w="1800"/>
        <w:gridCol w:w="1800"/>
        <w:gridCol w:w="1624"/>
        <w:gridCol w:w="18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5720" w:type="dxa"/>
            <w:gridSpan w:val="10"/>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公开03表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部门：湖南工程学院</w:t>
            </w: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4"/>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1800"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本年支出合计</w:t>
            </w:r>
          </w:p>
        </w:tc>
        <w:tc>
          <w:tcPr>
            <w:tcW w:w="1800"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1800"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c>
          <w:tcPr>
            <w:tcW w:w="1800"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上缴上级支出</w:t>
            </w:r>
          </w:p>
        </w:tc>
        <w:tc>
          <w:tcPr>
            <w:tcW w:w="1800"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经营支出</w:t>
            </w:r>
          </w:p>
        </w:tc>
        <w:tc>
          <w:tcPr>
            <w:tcW w:w="1800"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gridSpan w:val="3"/>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0" w:type="auto"/>
            <w:vMerge w:val="restart"/>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80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gridSpan w:val="3"/>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nil"/>
              <w:left w:val="nil"/>
              <w:bottom w:val="single" w:color="D4D4D4" w:sz="4" w:space="0"/>
              <w:right w:val="single" w:color="D4D4D4"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gridSpan w:val="3"/>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nil"/>
              <w:left w:val="nil"/>
              <w:bottom w:val="single" w:color="D4D4D4" w:sz="4" w:space="0"/>
              <w:right w:val="single" w:color="D4D4D4"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4"/>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1800" w:type="dxa"/>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800" w:type="dxa"/>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800" w:type="dxa"/>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800" w:type="dxa"/>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800" w:type="dxa"/>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800" w:type="dxa"/>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4"/>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63,690.59</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37,246.91</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26,443.69</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一般公共服务支出</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89.10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87.00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20114</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知识产权事务</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2011499</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其他知识产权事务支出</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20129</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群众团体事务</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2012999</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其他群众团体事务支出</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20138</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市场监督管理事务</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2013899</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其他市场监督管理事务</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教育支出</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63,180.55</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37,244.81</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25,935.75</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20502</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普通教育</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63,000.36</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37,203.61</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25,796.75</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2050205</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高等教育</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63,000.36</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37,203.61</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25,796.75</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20508</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进修及培训</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41.20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41.20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2050803</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培训支出</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41.20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41.20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20599</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其他教育支出</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138.99</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138.99</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2059999</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其他教育支出</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138.99</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138.99</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科学技术支出</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399.40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399.40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20602</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基础研究</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2060203</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自然科学基金</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20604</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技术研究与开发</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2060404</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科技成果转化与扩散</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20605</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科技条件与服务</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2060599</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其他科技条件与服务支出</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20606</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社会科学</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21.40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21.40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2060603</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社科基金支出</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17.40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17.40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2060699</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其他社会科学支出</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20607</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科学技术普及</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2060704</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学术交流活动</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2060799</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其他科学技术普及支出</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20609</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科技重大项目</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2060902</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重点研发计划</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20699</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其他科学技术支出</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2069901</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科技奖励</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2069999</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其他科学技术支出</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社会保障和就业支出</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21.54</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21.54</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20807</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就业补助</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21.54</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21.54</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2080799</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其他就业补助支出</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21.54</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21.54</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10"/>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注：本表反映部门本年度各项支出情况。</w:t>
            </w:r>
          </w:p>
        </w:tc>
      </w:tr>
    </w:tbl>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tbl>
      <w:tblPr>
        <w:tblStyle w:val="10"/>
        <w:tblW w:w="1569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306"/>
        <w:gridCol w:w="936"/>
        <w:gridCol w:w="1224"/>
        <w:gridCol w:w="3765"/>
        <w:gridCol w:w="945"/>
        <w:gridCol w:w="1485"/>
        <w:gridCol w:w="1470"/>
        <w:gridCol w:w="1050"/>
        <w:gridCol w:w="15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5696" w:type="dxa"/>
            <w:gridSpan w:val="9"/>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财政拨款收入支出决算总表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30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3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2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76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4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48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47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5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515"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公开04表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306"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部门：湖南工程学院</w:t>
            </w:r>
          </w:p>
        </w:tc>
        <w:tc>
          <w:tcPr>
            <w:tcW w:w="93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2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76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4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48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47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5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515"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金额单位：</w:t>
            </w:r>
          </w:p>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466" w:type="dxa"/>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收     入</w:t>
            </w:r>
          </w:p>
        </w:tc>
        <w:tc>
          <w:tcPr>
            <w:tcW w:w="10230" w:type="dxa"/>
            <w:gridSpan w:val="6"/>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306"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936"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1224"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c>
          <w:tcPr>
            <w:tcW w:w="3765"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945"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1485" w:type="dxa"/>
            <w:vMerge w:val="restart"/>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470"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一般公共预算财政拨款</w:t>
            </w:r>
          </w:p>
        </w:tc>
        <w:tc>
          <w:tcPr>
            <w:tcW w:w="1050"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政府性基金预算财政拨款</w:t>
            </w:r>
          </w:p>
        </w:tc>
        <w:tc>
          <w:tcPr>
            <w:tcW w:w="1515"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306"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36"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24"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3765"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945"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485" w:type="dxa"/>
            <w:vMerge w:val="continue"/>
            <w:tcBorders>
              <w:top w:val="nil"/>
              <w:left w:val="nil"/>
              <w:bottom w:val="single" w:color="D4D4D4" w:sz="4" w:space="0"/>
              <w:right w:val="single" w:color="D4D4D4"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47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5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15"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30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936" w:type="dxa"/>
            <w:tcBorders>
              <w:top w:val="nil"/>
              <w:left w:val="nil"/>
              <w:bottom w:val="single" w:color="D4D4D4" w:sz="4" w:space="0"/>
              <w:right w:val="single" w:color="D4D4D4"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24"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76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945" w:type="dxa"/>
            <w:tcBorders>
              <w:top w:val="nil"/>
              <w:left w:val="nil"/>
              <w:bottom w:val="single" w:color="D4D4D4" w:sz="4" w:space="0"/>
              <w:right w:val="single" w:color="D4D4D4"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4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4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05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5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30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一、一般公共预算财政拨款</w:t>
            </w:r>
          </w:p>
        </w:tc>
        <w:tc>
          <w:tcPr>
            <w:tcW w:w="93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224"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34,420.14</w:t>
            </w:r>
          </w:p>
        </w:tc>
        <w:tc>
          <w:tcPr>
            <w:tcW w:w="376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一、一般公共服务支出</w:t>
            </w:r>
          </w:p>
        </w:tc>
        <w:tc>
          <w:tcPr>
            <w:tcW w:w="94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14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89.10</w:t>
            </w:r>
          </w:p>
        </w:tc>
        <w:tc>
          <w:tcPr>
            <w:tcW w:w="14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89.10</w:t>
            </w:r>
          </w:p>
        </w:tc>
        <w:tc>
          <w:tcPr>
            <w:tcW w:w="105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30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二、政府性基金预算财政拨款</w:t>
            </w:r>
          </w:p>
        </w:tc>
        <w:tc>
          <w:tcPr>
            <w:tcW w:w="93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224"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76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二、外交支出</w:t>
            </w:r>
          </w:p>
        </w:tc>
        <w:tc>
          <w:tcPr>
            <w:tcW w:w="94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14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30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三、国有资本经营预算财政拨款</w:t>
            </w:r>
          </w:p>
        </w:tc>
        <w:tc>
          <w:tcPr>
            <w:tcW w:w="93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224"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76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三、国防支出</w:t>
            </w:r>
          </w:p>
        </w:tc>
        <w:tc>
          <w:tcPr>
            <w:tcW w:w="94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14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306"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93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224"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76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四、公共安全支出</w:t>
            </w:r>
          </w:p>
        </w:tc>
        <w:tc>
          <w:tcPr>
            <w:tcW w:w="94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14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306"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93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224"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76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五、教育支出</w:t>
            </w:r>
          </w:p>
        </w:tc>
        <w:tc>
          <w:tcPr>
            <w:tcW w:w="94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14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28,895.93</w:t>
            </w:r>
          </w:p>
        </w:tc>
        <w:tc>
          <w:tcPr>
            <w:tcW w:w="14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28,895.93</w:t>
            </w:r>
          </w:p>
        </w:tc>
        <w:tc>
          <w:tcPr>
            <w:tcW w:w="105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306"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93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224"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76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六、科学技术支出</w:t>
            </w:r>
          </w:p>
        </w:tc>
        <w:tc>
          <w:tcPr>
            <w:tcW w:w="94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14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399.40</w:t>
            </w:r>
          </w:p>
        </w:tc>
        <w:tc>
          <w:tcPr>
            <w:tcW w:w="14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399.40</w:t>
            </w:r>
          </w:p>
        </w:tc>
        <w:tc>
          <w:tcPr>
            <w:tcW w:w="105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306"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93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224"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76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七、文化旅游体育与传媒支出</w:t>
            </w:r>
          </w:p>
        </w:tc>
        <w:tc>
          <w:tcPr>
            <w:tcW w:w="94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14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306"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93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224"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76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八、社会保障和就业支出</w:t>
            </w:r>
          </w:p>
        </w:tc>
        <w:tc>
          <w:tcPr>
            <w:tcW w:w="94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14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21.54</w:t>
            </w:r>
          </w:p>
        </w:tc>
        <w:tc>
          <w:tcPr>
            <w:tcW w:w="14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21.54</w:t>
            </w:r>
          </w:p>
        </w:tc>
        <w:tc>
          <w:tcPr>
            <w:tcW w:w="105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306"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93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224"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76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九、卫生健康支出</w:t>
            </w:r>
          </w:p>
        </w:tc>
        <w:tc>
          <w:tcPr>
            <w:tcW w:w="94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14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306"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93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224"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76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十、节能环保支出</w:t>
            </w:r>
          </w:p>
        </w:tc>
        <w:tc>
          <w:tcPr>
            <w:tcW w:w="94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14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306"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93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224"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76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十一、城乡社区支出</w:t>
            </w:r>
          </w:p>
        </w:tc>
        <w:tc>
          <w:tcPr>
            <w:tcW w:w="94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14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306"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93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224"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76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十二、农林水支出</w:t>
            </w:r>
          </w:p>
        </w:tc>
        <w:tc>
          <w:tcPr>
            <w:tcW w:w="94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14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306"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93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224"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76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十三、交通运输支出</w:t>
            </w:r>
          </w:p>
        </w:tc>
        <w:tc>
          <w:tcPr>
            <w:tcW w:w="94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14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306"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93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1224"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76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十四、资源勘探工业信息等支出</w:t>
            </w:r>
          </w:p>
        </w:tc>
        <w:tc>
          <w:tcPr>
            <w:tcW w:w="94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14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306"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93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224"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76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十五、商业服务业等支出</w:t>
            </w:r>
          </w:p>
        </w:tc>
        <w:tc>
          <w:tcPr>
            <w:tcW w:w="94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14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306"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93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1224"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76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十六、金融支出</w:t>
            </w:r>
          </w:p>
        </w:tc>
        <w:tc>
          <w:tcPr>
            <w:tcW w:w="94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14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306"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93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1224"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76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十七、援助其他地区支出</w:t>
            </w:r>
          </w:p>
        </w:tc>
        <w:tc>
          <w:tcPr>
            <w:tcW w:w="94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14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306"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93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1224"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76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十八、自然资源海洋气象等支出</w:t>
            </w:r>
          </w:p>
        </w:tc>
        <w:tc>
          <w:tcPr>
            <w:tcW w:w="94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14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306"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93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1224"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76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十九、住房保障支出</w:t>
            </w:r>
          </w:p>
        </w:tc>
        <w:tc>
          <w:tcPr>
            <w:tcW w:w="94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14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306"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93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224"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76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二十、粮油物资储备支出</w:t>
            </w:r>
          </w:p>
        </w:tc>
        <w:tc>
          <w:tcPr>
            <w:tcW w:w="94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14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306"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93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1224"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76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二十一、国有资本经营预算支出</w:t>
            </w:r>
          </w:p>
        </w:tc>
        <w:tc>
          <w:tcPr>
            <w:tcW w:w="94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w:t>
            </w:r>
          </w:p>
        </w:tc>
        <w:tc>
          <w:tcPr>
            <w:tcW w:w="14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306"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93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1224"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76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二十二、灾害防治及应急管理支出</w:t>
            </w:r>
          </w:p>
        </w:tc>
        <w:tc>
          <w:tcPr>
            <w:tcW w:w="94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w:t>
            </w:r>
          </w:p>
        </w:tc>
        <w:tc>
          <w:tcPr>
            <w:tcW w:w="14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306"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93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1224"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76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二十三、其他支出</w:t>
            </w:r>
          </w:p>
        </w:tc>
        <w:tc>
          <w:tcPr>
            <w:tcW w:w="94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w:t>
            </w:r>
          </w:p>
        </w:tc>
        <w:tc>
          <w:tcPr>
            <w:tcW w:w="14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06" w:type="dxa"/>
            <w:tcBorders>
              <w:top w:val="nil"/>
              <w:left w:val="nil"/>
              <w:bottom w:val="single" w:color="D4D4D4" w:sz="4" w:space="0"/>
              <w:right w:val="single" w:color="D4D4D4"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93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1224"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76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二十四、债务还本支出</w:t>
            </w:r>
          </w:p>
        </w:tc>
        <w:tc>
          <w:tcPr>
            <w:tcW w:w="94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c>
          <w:tcPr>
            <w:tcW w:w="14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306"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93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1224"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76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二十五、债务付息支出</w:t>
            </w:r>
          </w:p>
        </w:tc>
        <w:tc>
          <w:tcPr>
            <w:tcW w:w="94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w:t>
            </w:r>
          </w:p>
        </w:tc>
        <w:tc>
          <w:tcPr>
            <w:tcW w:w="14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306"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93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1224"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76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二十六、抗疫特别国债安排的支出</w:t>
            </w:r>
          </w:p>
        </w:tc>
        <w:tc>
          <w:tcPr>
            <w:tcW w:w="94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14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30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本年收入合计</w:t>
            </w:r>
          </w:p>
        </w:tc>
        <w:tc>
          <w:tcPr>
            <w:tcW w:w="93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1224"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34,420.14</w:t>
            </w:r>
          </w:p>
        </w:tc>
        <w:tc>
          <w:tcPr>
            <w:tcW w:w="376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本年支出合计</w:t>
            </w:r>
          </w:p>
        </w:tc>
        <w:tc>
          <w:tcPr>
            <w:tcW w:w="94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w:t>
            </w:r>
          </w:p>
        </w:tc>
        <w:tc>
          <w:tcPr>
            <w:tcW w:w="14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29,405.97</w:t>
            </w:r>
          </w:p>
        </w:tc>
        <w:tc>
          <w:tcPr>
            <w:tcW w:w="14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29,405.97</w:t>
            </w:r>
          </w:p>
        </w:tc>
        <w:tc>
          <w:tcPr>
            <w:tcW w:w="105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30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年初财政拨款结转和结余</w:t>
            </w:r>
          </w:p>
        </w:tc>
        <w:tc>
          <w:tcPr>
            <w:tcW w:w="93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1224"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1,848.81</w:t>
            </w:r>
          </w:p>
        </w:tc>
        <w:tc>
          <w:tcPr>
            <w:tcW w:w="376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年末财政拨款结转和结余</w:t>
            </w:r>
          </w:p>
        </w:tc>
        <w:tc>
          <w:tcPr>
            <w:tcW w:w="94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4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6,862.97</w:t>
            </w:r>
          </w:p>
        </w:tc>
        <w:tc>
          <w:tcPr>
            <w:tcW w:w="14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6,862.97</w:t>
            </w:r>
          </w:p>
        </w:tc>
        <w:tc>
          <w:tcPr>
            <w:tcW w:w="105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30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一般公共预算财政拨款</w:t>
            </w:r>
          </w:p>
        </w:tc>
        <w:tc>
          <w:tcPr>
            <w:tcW w:w="93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1224"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1,848.81</w:t>
            </w:r>
          </w:p>
        </w:tc>
        <w:tc>
          <w:tcPr>
            <w:tcW w:w="3765"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94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w:t>
            </w:r>
          </w:p>
        </w:tc>
        <w:tc>
          <w:tcPr>
            <w:tcW w:w="1485"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470"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050"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515"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30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政府性基金预算财政拨款</w:t>
            </w:r>
          </w:p>
        </w:tc>
        <w:tc>
          <w:tcPr>
            <w:tcW w:w="93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224"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765"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94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w:t>
            </w:r>
          </w:p>
        </w:tc>
        <w:tc>
          <w:tcPr>
            <w:tcW w:w="1485"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470"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050"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515"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30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国有资本经营预算财政拨款</w:t>
            </w:r>
          </w:p>
        </w:tc>
        <w:tc>
          <w:tcPr>
            <w:tcW w:w="93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1224"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765"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94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w:t>
            </w:r>
          </w:p>
        </w:tc>
        <w:tc>
          <w:tcPr>
            <w:tcW w:w="1485"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470"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050"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1515"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30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93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1224"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36,268.94</w:t>
            </w:r>
          </w:p>
        </w:tc>
        <w:tc>
          <w:tcPr>
            <w:tcW w:w="376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94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w:t>
            </w:r>
          </w:p>
        </w:tc>
        <w:tc>
          <w:tcPr>
            <w:tcW w:w="14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36,268.94</w:t>
            </w:r>
          </w:p>
        </w:tc>
        <w:tc>
          <w:tcPr>
            <w:tcW w:w="14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36,268.94</w:t>
            </w:r>
          </w:p>
        </w:tc>
        <w:tc>
          <w:tcPr>
            <w:tcW w:w="105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181" w:type="dxa"/>
            <w:gridSpan w:val="8"/>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注：本表反映部门本年度一般公共预算财政拨款、政府性基金预算财政拨款和国有资本经营预算财政拨款的总收支和年末结转结余情况。</w:t>
            </w:r>
          </w:p>
        </w:tc>
        <w:tc>
          <w:tcPr>
            <w:tcW w:w="1515"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20"/>
                <w:szCs w:val="20"/>
                <w:u w:val="none"/>
              </w:rPr>
            </w:pPr>
          </w:p>
        </w:tc>
      </w:tr>
    </w:tbl>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tbl>
      <w:tblPr>
        <w:tblStyle w:val="10"/>
        <w:tblW w:w="1500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016"/>
        <w:gridCol w:w="222"/>
        <w:gridCol w:w="1443"/>
        <w:gridCol w:w="3810"/>
        <w:gridCol w:w="2415"/>
        <w:gridCol w:w="2385"/>
        <w:gridCol w:w="27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5006" w:type="dxa"/>
            <w:gridSpan w:val="7"/>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一般公共预算财政拨款支出决算表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01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22"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443"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81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41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38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715"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公开05表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016"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部门：湖南工程学院</w:t>
            </w:r>
          </w:p>
        </w:tc>
        <w:tc>
          <w:tcPr>
            <w:tcW w:w="222"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443"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81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41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38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715"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491" w:type="dxa"/>
            <w:gridSpan w:val="4"/>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7515" w:type="dxa"/>
            <w:gridSpan w:val="3"/>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681" w:type="dxa"/>
            <w:gridSpan w:val="3"/>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3810" w:type="dxa"/>
            <w:vMerge w:val="restart"/>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2415"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2385"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2715"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681" w:type="dxa"/>
            <w:gridSpan w:val="3"/>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3810" w:type="dxa"/>
            <w:vMerge w:val="continue"/>
            <w:tcBorders>
              <w:top w:val="nil"/>
              <w:left w:val="nil"/>
              <w:bottom w:val="single" w:color="D4D4D4" w:sz="4" w:space="0"/>
              <w:right w:val="single" w:color="D4D4D4"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2415"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385"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715"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681" w:type="dxa"/>
            <w:gridSpan w:val="3"/>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3810" w:type="dxa"/>
            <w:vMerge w:val="continue"/>
            <w:tcBorders>
              <w:top w:val="nil"/>
              <w:left w:val="nil"/>
              <w:bottom w:val="single" w:color="D4D4D4" w:sz="4" w:space="0"/>
              <w:right w:val="single" w:color="D4D4D4"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2415"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385"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715"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491" w:type="dxa"/>
            <w:gridSpan w:val="4"/>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24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3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7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491" w:type="dxa"/>
            <w:gridSpan w:val="4"/>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24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29,405.97</w:t>
            </w:r>
          </w:p>
        </w:tc>
        <w:tc>
          <w:tcPr>
            <w:tcW w:w="23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16,582.80</w:t>
            </w:r>
          </w:p>
        </w:tc>
        <w:tc>
          <w:tcPr>
            <w:tcW w:w="27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12,823.17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681" w:type="dxa"/>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w:t>
            </w:r>
          </w:p>
        </w:tc>
        <w:tc>
          <w:tcPr>
            <w:tcW w:w="38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一般公共服务支出</w:t>
            </w:r>
          </w:p>
        </w:tc>
        <w:tc>
          <w:tcPr>
            <w:tcW w:w="24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89.10</w:t>
            </w:r>
          </w:p>
        </w:tc>
        <w:tc>
          <w:tcPr>
            <w:tcW w:w="23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w:t>
            </w:r>
          </w:p>
        </w:tc>
        <w:tc>
          <w:tcPr>
            <w:tcW w:w="27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87.00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681" w:type="dxa"/>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20114</w:t>
            </w:r>
          </w:p>
        </w:tc>
        <w:tc>
          <w:tcPr>
            <w:tcW w:w="38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知识产权事务</w:t>
            </w:r>
          </w:p>
        </w:tc>
        <w:tc>
          <w:tcPr>
            <w:tcW w:w="24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80.00</w:t>
            </w:r>
          </w:p>
        </w:tc>
        <w:tc>
          <w:tcPr>
            <w:tcW w:w="23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681" w:type="dxa"/>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2011499</w:t>
            </w:r>
          </w:p>
        </w:tc>
        <w:tc>
          <w:tcPr>
            <w:tcW w:w="38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其他知识产权事务支出</w:t>
            </w:r>
          </w:p>
        </w:tc>
        <w:tc>
          <w:tcPr>
            <w:tcW w:w="24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80.00</w:t>
            </w:r>
          </w:p>
        </w:tc>
        <w:tc>
          <w:tcPr>
            <w:tcW w:w="23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681" w:type="dxa"/>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20129</w:t>
            </w:r>
          </w:p>
        </w:tc>
        <w:tc>
          <w:tcPr>
            <w:tcW w:w="38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群众团体事务</w:t>
            </w:r>
          </w:p>
        </w:tc>
        <w:tc>
          <w:tcPr>
            <w:tcW w:w="24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4.10</w:t>
            </w:r>
          </w:p>
        </w:tc>
        <w:tc>
          <w:tcPr>
            <w:tcW w:w="23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w:t>
            </w:r>
          </w:p>
        </w:tc>
        <w:tc>
          <w:tcPr>
            <w:tcW w:w="27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681" w:type="dxa"/>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2012999</w:t>
            </w:r>
          </w:p>
        </w:tc>
        <w:tc>
          <w:tcPr>
            <w:tcW w:w="38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其他群众团体事务支出</w:t>
            </w:r>
          </w:p>
        </w:tc>
        <w:tc>
          <w:tcPr>
            <w:tcW w:w="24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4.10</w:t>
            </w:r>
          </w:p>
        </w:tc>
        <w:tc>
          <w:tcPr>
            <w:tcW w:w="23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w:t>
            </w:r>
          </w:p>
        </w:tc>
        <w:tc>
          <w:tcPr>
            <w:tcW w:w="27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681" w:type="dxa"/>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20138</w:t>
            </w:r>
          </w:p>
        </w:tc>
        <w:tc>
          <w:tcPr>
            <w:tcW w:w="38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市场监督管理事务</w:t>
            </w:r>
          </w:p>
        </w:tc>
        <w:tc>
          <w:tcPr>
            <w:tcW w:w="24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w:t>
            </w:r>
          </w:p>
        </w:tc>
        <w:tc>
          <w:tcPr>
            <w:tcW w:w="23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681" w:type="dxa"/>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2013899</w:t>
            </w:r>
          </w:p>
        </w:tc>
        <w:tc>
          <w:tcPr>
            <w:tcW w:w="38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其他市场监督管理事务</w:t>
            </w:r>
          </w:p>
        </w:tc>
        <w:tc>
          <w:tcPr>
            <w:tcW w:w="24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w:t>
            </w:r>
          </w:p>
        </w:tc>
        <w:tc>
          <w:tcPr>
            <w:tcW w:w="23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681" w:type="dxa"/>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w:t>
            </w:r>
          </w:p>
        </w:tc>
        <w:tc>
          <w:tcPr>
            <w:tcW w:w="38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教育支出</w:t>
            </w:r>
          </w:p>
        </w:tc>
        <w:tc>
          <w:tcPr>
            <w:tcW w:w="24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28,895.93</w:t>
            </w:r>
          </w:p>
        </w:tc>
        <w:tc>
          <w:tcPr>
            <w:tcW w:w="23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16,580.70</w:t>
            </w:r>
          </w:p>
        </w:tc>
        <w:tc>
          <w:tcPr>
            <w:tcW w:w="27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12,315.23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681" w:type="dxa"/>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20502</w:t>
            </w:r>
          </w:p>
        </w:tc>
        <w:tc>
          <w:tcPr>
            <w:tcW w:w="38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普通教育</w:t>
            </w:r>
          </w:p>
        </w:tc>
        <w:tc>
          <w:tcPr>
            <w:tcW w:w="24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28,756.94</w:t>
            </w:r>
          </w:p>
        </w:tc>
        <w:tc>
          <w:tcPr>
            <w:tcW w:w="23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16,580.70</w:t>
            </w:r>
          </w:p>
        </w:tc>
        <w:tc>
          <w:tcPr>
            <w:tcW w:w="27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12,176.24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681" w:type="dxa"/>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2050205</w:t>
            </w:r>
          </w:p>
        </w:tc>
        <w:tc>
          <w:tcPr>
            <w:tcW w:w="38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高等教育</w:t>
            </w:r>
          </w:p>
        </w:tc>
        <w:tc>
          <w:tcPr>
            <w:tcW w:w="24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28,756.94</w:t>
            </w:r>
          </w:p>
        </w:tc>
        <w:tc>
          <w:tcPr>
            <w:tcW w:w="23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16,580.70</w:t>
            </w:r>
          </w:p>
        </w:tc>
        <w:tc>
          <w:tcPr>
            <w:tcW w:w="27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12,176.24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681" w:type="dxa"/>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20599</w:t>
            </w:r>
          </w:p>
        </w:tc>
        <w:tc>
          <w:tcPr>
            <w:tcW w:w="38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其他教育支出</w:t>
            </w:r>
          </w:p>
        </w:tc>
        <w:tc>
          <w:tcPr>
            <w:tcW w:w="24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138.99</w:t>
            </w:r>
          </w:p>
        </w:tc>
        <w:tc>
          <w:tcPr>
            <w:tcW w:w="23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138.99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681" w:type="dxa"/>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2059999</w:t>
            </w:r>
          </w:p>
        </w:tc>
        <w:tc>
          <w:tcPr>
            <w:tcW w:w="38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其他教育支出</w:t>
            </w:r>
          </w:p>
        </w:tc>
        <w:tc>
          <w:tcPr>
            <w:tcW w:w="24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138.99</w:t>
            </w:r>
          </w:p>
        </w:tc>
        <w:tc>
          <w:tcPr>
            <w:tcW w:w="23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138.99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681" w:type="dxa"/>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w:t>
            </w:r>
          </w:p>
        </w:tc>
        <w:tc>
          <w:tcPr>
            <w:tcW w:w="38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科学技术支出</w:t>
            </w:r>
          </w:p>
        </w:tc>
        <w:tc>
          <w:tcPr>
            <w:tcW w:w="24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399.40</w:t>
            </w:r>
          </w:p>
        </w:tc>
        <w:tc>
          <w:tcPr>
            <w:tcW w:w="23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681" w:type="dxa"/>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20602</w:t>
            </w:r>
          </w:p>
        </w:tc>
        <w:tc>
          <w:tcPr>
            <w:tcW w:w="38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基础研究</w:t>
            </w:r>
          </w:p>
        </w:tc>
        <w:tc>
          <w:tcPr>
            <w:tcW w:w="24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110.00</w:t>
            </w:r>
          </w:p>
        </w:tc>
        <w:tc>
          <w:tcPr>
            <w:tcW w:w="23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681" w:type="dxa"/>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2060203</w:t>
            </w:r>
          </w:p>
        </w:tc>
        <w:tc>
          <w:tcPr>
            <w:tcW w:w="38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自然科学基金</w:t>
            </w:r>
          </w:p>
        </w:tc>
        <w:tc>
          <w:tcPr>
            <w:tcW w:w="24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110.00</w:t>
            </w:r>
          </w:p>
        </w:tc>
        <w:tc>
          <w:tcPr>
            <w:tcW w:w="23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681" w:type="dxa"/>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20604</w:t>
            </w:r>
          </w:p>
        </w:tc>
        <w:tc>
          <w:tcPr>
            <w:tcW w:w="38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技术研究与开发</w:t>
            </w:r>
          </w:p>
        </w:tc>
        <w:tc>
          <w:tcPr>
            <w:tcW w:w="24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60.00</w:t>
            </w:r>
          </w:p>
        </w:tc>
        <w:tc>
          <w:tcPr>
            <w:tcW w:w="23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681" w:type="dxa"/>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2060404</w:t>
            </w:r>
          </w:p>
        </w:tc>
        <w:tc>
          <w:tcPr>
            <w:tcW w:w="38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科技成果转化与扩散</w:t>
            </w:r>
          </w:p>
        </w:tc>
        <w:tc>
          <w:tcPr>
            <w:tcW w:w="24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60.00</w:t>
            </w:r>
          </w:p>
        </w:tc>
        <w:tc>
          <w:tcPr>
            <w:tcW w:w="23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681" w:type="dxa"/>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20605</w:t>
            </w:r>
          </w:p>
        </w:tc>
        <w:tc>
          <w:tcPr>
            <w:tcW w:w="38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科技条件与服务</w:t>
            </w:r>
          </w:p>
        </w:tc>
        <w:tc>
          <w:tcPr>
            <w:tcW w:w="24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46.00</w:t>
            </w:r>
          </w:p>
        </w:tc>
        <w:tc>
          <w:tcPr>
            <w:tcW w:w="23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681" w:type="dxa"/>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2060599</w:t>
            </w:r>
          </w:p>
        </w:tc>
        <w:tc>
          <w:tcPr>
            <w:tcW w:w="38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其他科技条件与服务支出</w:t>
            </w:r>
          </w:p>
        </w:tc>
        <w:tc>
          <w:tcPr>
            <w:tcW w:w="24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46.00</w:t>
            </w:r>
          </w:p>
        </w:tc>
        <w:tc>
          <w:tcPr>
            <w:tcW w:w="23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681" w:type="dxa"/>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20606</w:t>
            </w:r>
          </w:p>
        </w:tc>
        <w:tc>
          <w:tcPr>
            <w:tcW w:w="38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社会科学</w:t>
            </w:r>
          </w:p>
        </w:tc>
        <w:tc>
          <w:tcPr>
            <w:tcW w:w="24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21.40</w:t>
            </w:r>
          </w:p>
        </w:tc>
        <w:tc>
          <w:tcPr>
            <w:tcW w:w="23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681" w:type="dxa"/>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2060603</w:t>
            </w:r>
          </w:p>
        </w:tc>
        <w:tc>
          <w:tcPr>
            <w:tcW w:w="38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社科基金支出</w:t>
            </w:r>
          </w:p>
        </w:tc>
        <w:tc>
          <w:tcPr>
            <w:tcW w:w="24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17.40</w:t>
            </w:r>
          </w:p>
        </w:tc>
        <w:tc>
          <w:tcPr>
            <w:tcW w:w="23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681" w:type="dxa"/>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2060699</w:t>
            </w:r>
          </w:p>
        </w:tc>
        <w:tc>
          <w:tcPr>
            <w:tcW w:w="38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其他社会科学支出</w:t>
            </w:r>
          </w:p>
        </w:tc>
        <w:tc>
          <w:tcPr>
            <w:tcW w:w="24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w:t>
            </w:r>
          </w:p>
        </w:tc>
        <w:tc>
          <w:tcPr>
            <w:tcW w:w="23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681" w:type="dxa"/>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20607</w:t>
            </w:r>
          </w:p>
        </w:tc>
        <w:tc>
          <w:tcPr>
            <w:tcW w:w="38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科学技术普及</w:t>
            </w:r>
          </w:p>
        </w:tc>
        <w:tc>
          <w:tcPr>
            <w:tcW w:w="24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37.00</w:t>
            </w:r>
          </w:p>
        </w:tc>
        <w:tc>
          <w:tcPr>
            <w:tcW w:w="23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681" w:type="dxa"/>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2060704</w:t>
            </w:r>
          </w:p>
        </w:tc>
        <w:tc>
          <w:tcPr>
            <w:tcW w:w="38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学术交流活动</w:t>
            </w:r>
          </w:p>
        </w:tc>
        <w:tc>
          <w:tcPr>
            <w:tcW w:w="24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36.00</w:t>
            </w:r>
          </w:p>
        </w:tc>
        <w:tc>
          <w:tcPr>
            <w:tcW w:w="23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681" w:type="dxa"/>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2060799</w:t>
            </w:r>
          </w:p>
        </w:tc>
        <w:tc>
          <w:tcPr>
            <w:tcW w:w="38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其他科学技术普及支出</w:t>
            </w:r>
          </w:p>
        </w:tc>
        <w:tc>
          <w:tcPr>
            <w:tcW w:w="24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23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681" w:type="dxa"/>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20609</w:t>
            </w:r>
          </w:p>
        </w:tc>
        <w:tc>
          <w:tcPr>
            <w:tcW w:w="38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科技重大项目</w:t>
            </w:r>
          </w:p>
        </w:tc>
        <w:tc>
          <w:tcPr>
            <w:tcW w:w="24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80.00</w:t>
            </w:r>
          </w:p>
        </w:tc>
        <w:tc>
          <w:tcPr>
            <w:tcW w:w="23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681" w:type="dxa"/>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2060902</w:t>
            </w:r>
          </w:p>
        </w:tc>
        <w:tc>
          <w:tcPr>
            <w:tcW w:w="38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重点研发计划</w:t>
            </w:r>
          </w:p>
        </w:tc>
        <w:tc>
          <w:tcPr>
            <w:tcW w:w="24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80.00</w:t>
            </w:r>
          </w:p>
        </w:tc>
        <w:tc>
          <w:tcPr>
            <w:tcW w:w="23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681" w:type="dxa"/>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20699</w:t>
            </w:r>
          </w:p>
        </w:tc>
        <w:tc>
          <w:tcPr>
            <w:tcW w:w="38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其他科学技术支出</w:t>
            </w:r>
          </w:p>
        </w:tc>
        <w:tc>
          <w:tcPr>
            <w:tcW w:w="24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45.00</w:t>
            </w:r>
          </w:p>
        </w:tc>
        <w:tc>
          <w:tcPr>
            <w:tcW w:w="23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681" w:type="dxa"/>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2069901</w:t>
            </w:r>
          </w:p>
        </w:tc>
        <w:tc>
          <w:tcPr>
            <w:tcW w:w="38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科技奖励</w:t>
            </w:r>
          </w:p>
        </w:tc>
        <w:tc>
          <w:tcPr>
            <w:tcW w:w="24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35.00</w:t>
            </w:r>
          </w:p>
        </w:tc>
        <w:tc>
          <w:tcPr>
            <w:tcW w:w="23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681" w:type="dxa"/>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2069999</w:t>
            </w:r>
          </w:p>
        </w:tc>
        <w:tc>
          <w:tcPr>
            <w:tcW w:w="38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其他科学技术支出</w:t>
            </w:r>
          </w:p>
        </w:tc>
        <w:tc>
          <w:tcPr>
            <w:tcW w:w="24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23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681" w:type="dxa"/>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w:t>
            </w:r>
          </w:p>
        </w:tc>
        <w:tc>
          <w:tcPr>
            <w:tcW w:w="38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社会保障和就业支出</w:t>
            </w:r>
          </w:p>
        </w:tc>
        <w:tc>
          <w:tcPr>
            <w:tcW w:w="24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21.54</w:t>
            </w:r>
          </w:p>
        </w:tc>
        <w:tc>
          <w:tcPr>
            <w:tcW w:w="23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681" w:type="dxa"/>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20807</w:t>
            </w:r>
          </w:p>
        </w:tc>
        <w:tc>
          <w:tcPr>
            <w:tcW w:w="38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就业补助</w:t>
            </w:r>
          </w:p>
        </w:tc>
        <w:tc>
          <w:tcPr>
            <w:tcW w:w="24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21.54</w:t>
            </w:r>
          </w:p>
        </w:tc>
        <w:tc>
          <w:tcPr>
            <w:tcW w:w="23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681" w:type="dxa"/>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2080799</w:t>
            </w:r>
          </w:p>
        </w:tc>
        <w:tc>
          <w:tcPr>
            <w:tcW w:w="38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其他就业补助支出</w:t>
            </w:r>
          </w:p>
        </w:tc>
        <w:tc>
          <w:tcPr>
            <w:tcW w:w="24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21.54</w:t>
            </w:r>
          </w:p>
        </w:tc>
        <w:tc>
          <w:tcPr>
            <w:tcW w:w="23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71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5006" w:type="dxa"/>
            <w:gridSpan w:val="7"/>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注：本表反映部门本年度一般公共预算财政拨款支出情况。</w:t>
            </w:r>
          </w:p>
        </w:tc>
      </w:tr>
    </w:tbl>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tbl>
      <w:tblPr>
        <w:tblStyle w:val="10"/>
        <w:tblW w:w="1595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31"/>
        <w:gridCol w:w="3840"/>
        <w:gridCol w:w="1290"/>
        <w:gridCol w:w="840"/>
        <w:gridCol w:w="2625"/>
        <w:gridCol w:w="1110"/>
        <w:gridCol w:w="870"/>
        <w:gridCol w:w="3420"/>
        <w:gridCol w:w="11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5951" w:type="dxa"/>
            <w:gridSpan w:val="9"/>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一般公共预算财政拨款基本支出决算明细表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31"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84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9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84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62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1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87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42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25"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公开06表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3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部门：湖南工程学院</w:t>
            </w:r>
          </w:p>
        </w:tc>
        <w:tc>
          <w:tcPr>
            <w:tcW w:w="384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9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84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62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1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87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42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25"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961" w:type="dxa"/>
            <w:gridSpan w:val="3"/>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人员经费</w:t>
            </w:r>
          </w:p>
        </w:tc>
        <w:tc>
          <w:tcPr>
            <w:tcW w:w="9990" w:type="dxa"/>
            <w:gridSpan w:val="6"/>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1"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3840"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290"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c>
          <w:tcPr>
            <w:tcW w:w="840"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2625"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110"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c>
          <w:tcPr>
            <w:tcW w:w="870"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3420"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125"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1"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384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9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4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625"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1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87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342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25"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1"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w:t>
            </w:r>
          </w:p>
        </w:tc>
        <w:tc>
          <w:tcPr>
            <w:tcW w:w="3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工资福利支出</w:t>
            </w:r>
          </w:p>
        </w:tc>
        <w:tc>
          <w:tcPr>
            <w:tcW w:w="129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14,933.00</w:t>
            </w:r>
          </w:p>
        </w:tc>
        <w:tc>
          <w:tcPr>
            <w:tcW w:w="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w:t>
            </w:r>
          </w:p>
        </w:tc>
        <w:tc>
          <w:tcPr>
            <w:tcW w:w="26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商品和服务支出</w:t>
            </w:r>
          </w:p>
        </w:tc>
        <w:tc>
          <w:tcPr>
            <w:tcW w:w="11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1,466.40</w:t>
            </w:r>
          </w:p>
        </w:tc>
        <w:tc>
          <w:tcPr>
            <w:tcW w:w="8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307</w:t>
            </w:r>
          </w:p>
        </w:tc>
        <w:tc>
          <w:tcPr>
            <w:tcW w:w="342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债务利息及费用支出</w:t>
            </w:r>
          </w:p>
        </w:tc>
        <w:tc>
          <w:tcPr>
            <w:tcW w:w="11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1"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30101</w:t>
            </w:r>
          </w:p>
        </w:tc>
        <w:tc>
          <w:tcPr>
            <w:tcW w:w="3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基本工资</w:t>
            </w:r>
          </w:p>
        </w:tc>
        <w:tc>
          <w:tcPr>
            <w:tcW w:w="129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3,972.33</w:t>
            </w:r>
          </w:p>
        </w:tc>
        <w:tc>
          <w:tcPr>
            <w:tcW w:w="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30201</w:t>
            </w:r>
          </w:p>
        </w:tc>
        <w:tc>
          <w:tcPr>
            <w:tcW w:w="26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办公费</w:t>
            </w:r>
          </w:p>
        </w:tc>
        <w:tc>
          <w:tcPr>
            <w:tcW w:w="11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3.63</w:t>
            </w:r>
          </w:p>
        </w:tc>
        <w:tc>
          <w:tcPr>
            <w:tcW w:w="8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30701</w:t>
            </w:r>
          </w:p>
        </w:tc>
        <w:tc>
          <w:tcPr>
            <w:tcW w:w="342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国内债务付息</w:t>
            </w:r>
          </w:p>
        </w:tc>
        <w:tc>
          <w:tcPr>
            <w:tcW w:w="11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1"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30102</w:t>
            </w:r>
          </w:p>
        </w:tc>
        <w:tc>
          <w:tcPr>
            <w:tcW w:w="3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津贴补贴</w:t>
            </w:r>
          </w:p>
        </w:tc>
        <w:tc>
          <w:tcPr>
            <w:tcW w:w="129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30202</w:t>
            </w:r>
          </w:p>
        </w:tc>
        <w:tc>
          <w:tcPr>
            <w:tcW w:w="26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印刷费</w:t>
            </w:r>
          </w:p>
        </w:tc>
        <w:tc>
          <w:tcPr>
            <w:tcW w:w="11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136.47</w:t>
            </w:r>
          </w:p>
        </w:tc>
        <w:tc>
          <w:tcPr>
            <w:tcW w:w="8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30702</w:t>
            </w:r>
          </w:p>
        </w:tc>
        <w:tc>
          <w:tcPr>
            <w:tcW w:w="342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国外债务付息</w:t>
            </w:r>
          </w:p>
        </w:tc>
        <w:tc>
          <w:tcPr>
            <w:tcW w:w="11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1"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30103</w:t>
            </w:r>
          </w:p>
        </w:tc>
        <w:tc>
          <w:tcPr>
            <w:tcW w:w="3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奖金</w:t>
            </w:r>
          </w:p>
        </w:tc>
        <w:tc>
          <w:tcPr>
            <w:tcW w:w="129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30203</w:t>
            </w:r>
          </w:p>
        </w:tc>
        <w:tc>
          <w:tcPr>
            <w:tcW w:w="26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咨询费</w:t>
            </w:r>
          </w:p>
        </w:tc>
        <w:tc>
          <w:tcPr>
            <w:tcW w:w="11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w:t>
            </w:r>
          </w:p>
        </w:tc>
        <w:tc>
          <w:tcPr>
            <w:tcW w:w="342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资本性支出</w:t>
            </w:r>
          </w:p>
        </w:tc>
        <w:tc>
          <w:tcPr>
            <w:tcW w:w="11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1"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30106</w:t>
            </w:r>
          </w:p>
        </w:tc>
        <w:tc>
          <w:tcPr>
            <w:tcW w:w="3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伙食补助费</w:t>
            </w:r>
          </w:p>
        </w:tc>
        <w:tc>
          <w:tcPr>
            <w:tcW w:w="129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30204</w:t>
            </w:r>
          </w:p>
        </w:tc>
        <w:tc>
          <w:tcPr>
            <w:tcW w:w="26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手续费</w:t>
            </w:r>
          </w:p>
        </w:tc>
        <w:tc>
          <w:tcPr>
            <w:tcW w:w="11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31001</w:t>
            </w:r>
          </w:p>
        </w:tc>
        <w:tc>
          <w:tcPr>
            <w:tcW w:w="342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房屋建筑物购建</w:t>
            </w:r>
          </w:p>
        </w:tc>
        <w:tc>
          <w:tcPr>
            <w:tcW w:w="11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1"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30107</w:t>
            </w:r>
          </w:p>
        </w:tc>
        <w:tc>
          <w:tcPr>
            <w:tcW w:w="3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绩效工资</w:t>
            </w:r>
          </w:p>
        </w:tc>
        <w:tc>
          <w:tcPr>
            <w:tcW w:w="129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7,233.00</w:t>
            </w:r>
          </w:p>
        </w:tc>
        <w:tc>
          <w:tcPr>
            <w:tcW w:w="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30205</w:t>
            </w:r>
          </w:p>
        </w:tc>
        <w:tc>
          <w:tcPr>
            <w:tcW w:w="26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水费</w:t>
            </w:r>
          </w:p>
        </w:tc>
        <w:tc>
          <w:tcPr>
            <w:tcW w:w="11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300.00</w:t>
            </w:r>
          </w:p>
        </w:tc>
        <w:tc>
          <w:tcPr>
            <w:tcW w:w="8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31002</w:t>
            </w:r>
          </w:p>
        </w:tc>
        <w:tc>
          <w:tcPr>
            <w:tcW w:w="342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办公设备购置</w:t>
            </w:r>
          </w:p>
        </w:tc>
        <w:tc>
          <w:tcPr>
            <w:tcW w:w="11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1"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30108</w:t>
            </w:r>
          </w:p>
        </w:tc>
        <w:tc>
          <w:tcPr>
            <w:tcW w:w="3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机关事业单位基本养老保险缴费</w:t>
            </w:r>
          </w:p>
        </w:tc>
        <w:tc>
          <w:tcPr>
            <w:tcW w:w="129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2,000.00</w:t>
            </w:r>
          </w:p>
        </w:tc>
        <w:tc>
          <w:tcPr>
            <w:tcW w:w="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30206</w:t>
            </w:r>
          </w:p>
        </w:tc>
        <w:tc>
          <w:tcPr>
            <w:tcW w:w="26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电费</w:t>
            </w:r>
          </w:p>
        </w:tc>
        <w:tc>
          <w:tcPr>
            <w:tcW w:w="11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600.00</w:t>
            </w:r>
          </w:p>
        </w:tc>
        <w:tc>
          <w:tcPr>
            <w:tcW w:w="8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31003</w:t>
            </w:r>
          </w:p>
        </w:tc>
        <w:tc>
          <w:tcPr>
            <w:tcW w:w="342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专用设备购置</w:t>
            </w:r>
          </w:p>
        </w:tc>
        <w:tc>
          <w:tcPr>
            <w:tcW w:w="11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1"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30109</w:t>
            </w:r>
          </w:p>
        </w:tc>
        <w:tc>
          <w:tcPr>
            <w:tcW w:w="3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职业年金缴费</w:t>
            </w:r>
          </w:p>
        </w:tc>
        <w:tc>
          <w:tcPr>
            <w:tcW w:w="129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30207</w:t>
            </w:r>
          </w:p>
        </w:tc>
        <w:tc>
          <w:tcPr>
            <w:tcW w:w="26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邮电费</w:t>
            </w:r>
          </w:p>
        </w:tc>
        <w:tc>
          <w:tcPr>
            <w:tcW w:w="11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31005</w:t>
            </w:r>
          </w:p>
        </w:tc>
        <w:tc>
          <w:tcPr>
            <w:tcW w:w="342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基础设施建设</w:t>
            </w:r>
          </w:p>
        </w:tc>
        <w:tc>
          <w:tcPr>
            <w:tcW w:w="11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1"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30110</w:t>
            </w:r>
          </w:p>
        </w:tc>
        <w:tc>
          <w:tcPr>
            <w:tcW w:w="3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职工基本医疗保险缴费</w:t>
            </w:r>
          </w:p>
        </w:tc>
        <w:tc>
          <w:tcPr>
            <w:tcW w:w="129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600.00</w:t>
            </w:r>
          </w:p>
        </w:tc>
        <w:tc>
          <w:tcPr>
            <w:tcW w:w="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30208</w:t>
            </w:r>
          </w:p>
        </w:tc>
        <w:tc>
          <w:tcPr>
            <w:tcW w:w="26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取暖费</w:t>
            </w:r>
          </w:p>
        </w:tc>
        <w:tc>
          <w:tcPr>
            <w:tcW w:w="11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31006</w:t>
            </w:r>
          </w:p>
        </w:tc>
        <w:tc>
          <w:tcPr>
            <w:tcW w:w="342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大型修缮</w:t>
            </w:r>
          </w:p>
        </w:tc>
        <w:tc>
          <w:tcPr>
            <w:tcW w:w="11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1"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30111</w:t>
            </w:r>
          </w:p>
        </w:tc>
        <w:tc>
          <w:tcPr>
            <w:tcW w:w="3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公务员医疗补助缴费</w:t>
            </w:r>
          </w:p>
        </w:tc>
        <w:tc>
          <w:tcPr>
            <w:tcW w:w="129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30209</w:t>
            </w:r>
          </w:p>
        </w:tc>
        <w:tc>
          <w:tcPr>
            <w:tcW w:w="26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物业管理费</w:t>
            </w:r>
          </w:p>
        </w:tc>
        <w:tc>
          <w:tcPr>
            <w:tcW w:w="11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394.35</w:t>
            </w:r>
          </w:p>
        </w:tc>
        <w:tc>
          <w:tcPr>
            <w:tcW w:w="8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31007</w:t>
            </w:r>
          </w:p>
        </w:tc>
        <w:tc>
          <w:tcPr>
            <w:tcW w:w="342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信息网络及软件购置更新</w:t>
            </w:r>
          </w:p>
        </w:tc>
        <w:tc>
          <w:tcPr>
            <w:tcW w:w="11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1"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30112</w:t>
            </w:r>
          </w:p>
        </w:tc>
        <w:tc>
          <w:tcPr>
            <w:tcW w:w="3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其他社会保障缴费</w:t>
            </w:r>
          </w:p>
        </w:tc>
        <w:tc>
          <w:tcPr>
            <w:tcW w:w="129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80.00</w:t>
            </w:r>
          </w:p>
        </w:tc>
        <w:tc>
          <w:tcPr>
            <w:tcW w:w="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30211</w:t>
            </w:r>
          </w:p>
        </w:tc>
        <w:tc>
          <w:tcPr>
            <w:tcW w:w="26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差旅费</w:t>
            </w:r>
          </w:p>
        </w:tc>
        <w:tc>
          <w:tcPr>
            <w:tcW w:w="11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31008</w:t>
            </w:r>
          </w:p>
        </w:tc>
        <w:tc>
          <w:tcPr>
            <w:tcW w:w="342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物资储备</w:t>
            </w:r>
          </w:p>
        </w:tc>
        <w:tc>
          <w:tcPr>
            <w:tcW w:w="11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1"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30113</w:t>
            </w:r>
          </w:p>
        </w:tc>
        <w:tc>
          <w:tcPr>
            <w:tcW w:w="3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住房公积金</w:t>
            </w:r>
          </w:p>
        </w:tc>
        <w:tc>
          <w:tcPr>
            <w:tcW w:w="129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760.00</w:t>
            </w:r>
          </w:p>
        </w:tc>
        <w:tc>
          <w:tcPr>
            <w:tcW w:w="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30212</w:t>
            </w:r>
          </w:p>
        </w:tc>
        <w:tc>
          <w:tcPr>
            <w:tcW w:w="26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因公出国（境）费用</w:t>
            </w:r>
          </w:p>
        </w:tc>
        <w:tc>
          <w:tcPr>
            <w:tcW w:w="11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31009</w:t>
            </w:r>
          </w:p>
        </w:tc>
        <w:tc>
          <w:tcPr>
            <w:tcW w:w="342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土地补偿</w:t>
            </w:r>
          </w:p>
        </w:tc>
        <w:tc>
          <w:tcPr>
            <w:tcW w:w="11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1"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30114</w:t>
            </w:r>
          </w:p>
        </w:tc>
        <w:tc>
          <w:tcPr>
            <w:tcW w:w="3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医疗费</w:t>
            </w:r>
          </w:p>
        </w:tc>
        <w:tc>
          <w:tcPr>
            <w:tcW w:w="129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30213</w:t>
            </w:r>
          </w:p>
        </w:tc>
        <w:tc>
          <w:tcPr>
            <w:tcW w:w="26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维修（护）费</w:t>
            </w:r>
          </w:p>
        </w:tc>
        <w:tc>
          <w:tcPr>
            <w:tcW w:w="11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22.84</w:t>
            </w:r>
          </w:p>
        </w:tc>
        <w:tc>
          <w:tcPr>
            <w:tcW w:w="8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31010</w:t>
            </w:r>
          </w:p>
        </w:tc>
        <w:tc>
          <w:tcPr>
            <w:tcW w:w="342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安置补助</w:t>
            </w:r>
          </w:p>
        </w:tc>
        <w:tc>
          <w:tcPr>
            <w:tcW w:w="11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1"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30199</w:t>
            </w:r>
          </w:p>
        </w:tc>
        <w:tc>
          <w:tcPr>
            <w:tcW w:w="3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其他工资福利支出</w:t>
            </w:r>
          </w:p>
        </w:tc>
        <w:tc>
          <w:tcPr>
            <w:tcW w:w="129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287.67</w:t>
            </w:r>
          </w:p>
        </w:tc>
        <w:tc>
          <w:tcPr>
            <w:tcW w:w="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30214</w:t>
            </w:r>
          </w:p>
        </w:tc>
        <w:tc>
          <w:tcPr>
            <w:tcW w:w="26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租赁费</w:t>
            </w:r>
          </w:p>
        </w:tc>
        <w:tc>
          <w:tcPr>
            <w:tcW w:w="11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4.25</w:t>
            </w:r>
          </w:p>
        </w:tc>
        <w:tc>
          <w:tcPr>
            <w:tcW w:w="8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31011</w:t>
            </w:r>
          </w:p>
        </w:tc>
        <w:tc>
          <w:tcPr>
            <w:tcW w:w="342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地上附着物和青苗补偿</w:t>
            </w:r>
          </w:p>
        </w:tc>
        <w:tc>
          <w:tcPr>
            <w:tcW w:w="11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1"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w:t>
            </w:r>
          </w:p>
        </w:tc>
        <w:tc>
          <w:tcPr>
            <w:tcW w:w="3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对个人和家庭的补助</w:t>
            </w:r>
          </w:p>
        </w:tc>
        <w:tc>
          <w:tcPr>
            <w:tcW w:w="129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183.40</w:t>
            </w:r>
          </w:p>
        </w:tc>
        <w:tc>
          <w:tcPr>
            <w:tcW w:w="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30215</w:t>
            </w:r>
          </w:p>
        </w:tc>
        <w:tc>
          <w:tcPr>
            <w:tcW w:w="26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会议费</w:t>
            </w:r>
          </w:p>
        </w:tc>
        <w:tc>
          <w:tcPr>
            <w:tcW w:w="11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31012</w:t>
            </w:r>
          </w:p>
        </w:tc>
        <w:tc>
          <w:tcPr>
            <w:tcW w:w="342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拆迁补偿</w:t>
            </w:r>
          </w:p>
        </w:tc>
        <w:tc>
          <w:tcPr>
            <w:tcW w:w="11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1"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30301</w:t>
            </w:r>
          </w:p>
        </w:tc>
        <w:tc>
          <w:tcPr>
            <w:tcW w:w="3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离休费</w:t>
            </w:r>
          </w:p>
        </w:tc>
        <w:tc>
          <w:tcPr>
            <w:tcW w:w="129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29.00</w:t>
            </w:r>
          </w:p>
        </w:tc>
        <w:tc>
          <w:tcPr>
            <w:tcW w:w="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30216</w:t>
            </w:r>
          </w:p>
        </w:tc>
        <w:tc>
          <w:tcPr>
            <w:tcW w:w="26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培训费</w:t>
            </w:r>
          </w:p>
        </w:tc>
        <w:tc>
          <w:tcPr>
            <w:tcW w:w="11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31013</w:t>
            </w:r>
          </w:p>
        </w:tc>
        <w:tc>
          <w:tcPr>
            <w:tcW w:w="342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公务用车购置</w:t>
            </w:r>
          </w:p>
        </w:tc>
        <w:tc>
          <w:tcPr>
            <w:tcW w:w="11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1"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30302</w:t>
            </w:r>
          </w:p>
        </w:tc>
        <w:tc>
          <w:tcPr>
            <w:tcW w:w="3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退休费</w:t>
            </w:r>
          </w:p>
        </w:tc>
        <w:tc>
          <w:tcPr>
            <w:tcW w:w="129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30217</w:t>
            </w:r>
          </w:p>
        </w:tc>
        <w:tc>
          <w:tcPr>
            <w:tcW w:w="26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公务接待费</w:t>
            </w:r>
          </w:p>
        </w:tc>
        <w:tc>
          <w:tcPr>
            <w:tcW w:w="11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31019</w:t>
            </w:r>
          </w:p>
        </w:tc>
        <w:tc>
          <w:tcPr>
            <w:tcW w:w="342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其他交通工具购置</w:t>
            </w:r>
          </w:p>
        </w:tc>
        <w:tc>
          <w:tcPr>
            <w:tcW w:w="11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1"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30303</w:t>
            </w:r>
          </w:p>
        </w:tc>
        <w:tc>
          <w:tcPr>
            <w:tcW w:w="3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退职（役）费</w:t>
            </w:r>
          </w:p>
        </w:tc>
        <w:tc>
          <w:tcPr>
            <w:tcW w:w="129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30218</w:t>
            </w:r>
          </w:p>
        </w:tc>
        <w:tc>
          <w:tcPr>
            <w:tcW w:w="26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专用材料费</w:t>
            </w:r>
          </w:p>
        </w:tc>
        <w:tc>
          <w:tcPr>
            <w:tcW w:w="11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31021</w:t>
            </w:r>
          </w:p>
        </w:tc>
        <w:tc>
          <w:tcPr>
            <w:tcW w:w="342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文物和陈列品购置</w:t>
            </w:r>
          </w:p>
        </w:tc>
        <w:tc>
          <w:tcPr>
            <w:tcW w:w="11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1"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30304</w:t>
            </w:r>
          </w:p>
        </w:tc>
        <w:tc>
          <w:tcPr>
            <w:tcW w:w="3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抚恤金</w:t>
            </w:r>
          </w:p>
        </w:tc>
        <w:tc>
          <w:tcPr>
            <w:tcW w:w="129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30.00</w:t>
            </w:r>
          </w:p>
        </w:tc>
        <w:tc>
          <w:tcPr>
            <w:tcW w:w="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30224</w:t>
            </w:r>
          </w:p>
        </w:tc>
        <w:tc>
          <w:tcPr>
            <w:tcW w:w="26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被装购置费</w:t>
            </w:r>
          </w:p>
        </w:tc>
        <w:tc>
          <w:tcPr>
            <w:tcW w:w="11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31022</w:t>
            </w:r>
          </w:p>
        </w:tc>
        <w:tc>
          <w:tcPr>
            <w:tcW w:w="342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无形资产购置</w:t>
            </w:r>
          </w:p>
        </w:tc>
        <w:tc>
          <w:tcPr>
            <w:tcW w:w="11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1"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30305</w:t>
            </w:r>
          </w:p>
        </w:tc>
        <w:tc>
          <w:tcPr>
            <w:tcW w:w="3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生活补助</w:t>
            </w:r>
          </w:p>
        </w:tc>
        <w:tc>
          <w:tcPr>
            <w:tcW w:w="129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4.80</w:t>
            </w:r>
          </w:p>
        </w:tc>
        <w:tc>
          <w:tcPr>
            <w:tcW w:w="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30225</w:t>
            </w:r>
          </w:p>
        </w:tc>
        <w:tc>
          <w:tcPr>
            <w:tcW w:w="26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专用燃料费</w:t>
            </w:r>
          </w:p>
        </w:tc>
        <w:tc>
          <w:tcPr>
            <w:tcW w:w="11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31099</w:t>
            </w:r>
          </w:p>
        </w:tc>
        <w:tc>
          <w:tcPr>
            <w:tcW w:w="342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其他资本性支出</w:t>
            </w:r>
          </w:p>
        </w:tc>
        <w:tc>
          <w:tcPr>
            <w:tcW w:w="11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1"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30306</w:t>
            </w:r>
          </w:p>
        </w:tc>
        <w:tc>
          <w:tcPr>
            <w:tcW w:w="3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救济费</w:t>
            </w:r>
          </w:p>
        </w:tc>
        <w:tc>
          <w:tcPr>
            <w:tcW w:w="129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30226</w:t>
            </w:r>
          </w:p>
        </w:tc>
        <w:tc>
          <w:tcPr>
            <w:tcW w:w="26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劳务费</w:t>
            </w:r>
          </w:p>
        </w:tc>
        <w:tc>
          <w:tcPr>
            <w:tcW w:w="11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w:t>
            </w:r>
          </w:p>
        </w:tc>
        <w:tc>
          <w:tcPr>
            <w:tcW w:w="342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其他支出</w:t>
            </w:r>
          </w:p>
        </w:tc>
        <w:tc>
          <w:tcPr>
            <w:tcW w:w="11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1"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30307</w:t>
            </w:r>
          </w:p>
        </w:tc>
        <w:tc>
          <w:tcPr>
            <w:tcW w:w="3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医疗费补助</w:t>
            </w:r>
          </w:p>
        </w:tc>
        <w:tc>
          <w:tcPr>
            <w:tcW w:w="129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w:t>
            </w:r>
          </w:p>
        </w:tc>
        <w:tc>
          <w:tcPr>
            <w:tcW w:w="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30227</w:t>
            </w:r>
          </w:p>
        </w:tc>
        <w:tc>
          <w:tcPr>
            <w:tcW w:w="26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委托业务费</w:t>
            </w:r>
          </w:p>
        </w:tc>
        <w:tc>
          <w:tcPr>
            <w:tcW w:w="11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39907</w:t>
            </w:r>
          </w:p>
        </w:tc>
        <w:tc>
          <w:tcPr>
            <w:tcW w:w="342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国家赔偿费用支出</w:t>
            </w:r>
          </w:p>
        </w:tc>
        <w:tc>
          <w:tcPr>
            <w:tcW w:w="11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1"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30308</w:t>
            </w:r>
          </w:p>
        </w:tc>
        <w:tc>
          <w:tcPr>
            <w:tcW w:w="3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助学金</w:t>
            </w:r>
          </w:p>
        </w:tc>
        <w:tc>
          <w:tcPr>
            <w:tcW w:w="129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30228</w:t>
            </w:r>
          </w:p>
        </w:tc>
        <w:tc>
          <w:tcPr>
            <w:tcW w:w="26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工会经费</w:t>
            </w:r>
          </w:p>
        </w:tc>
        <w:tc>
          <w:tcPr>
            <w:tcW w:w="11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39908</w:t>
            </w:r>
          </w:p>
        </w:tc>
        <w:tc>
          <w:tcPr>
            <w:tcW w:w="342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对民间非营利组织和群众性自治组织补贴</w:t>
            </w:r>
          </w:p>
        </w:tc>
        <w:tc>
          <w:tcPr>
            <w:tcW w:w="11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1"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30309</w:t>
            </w:r>
          </w:p>
        </w:tc>
        <w:tc>
          <w:tcPr>
            <w:tcW w:w="3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奖励金</w:t>
            </w:r>
          </w:p>
        </w:tc>
        <w:tc>
          <w:tcPr>
            <w:tcW w:w="129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30229</w:t>
            </w:r>
          </w:p>
        </w:tc>
        <w:tc>
          <w:tcPr>
            <w:tcW w:w="26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福利费</w:t>
            </w:r>
          </w:p>
        </w:tc>
        <w:tc>
          <w:tcPr>
            <w:tcW w:w="11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39909</w:t>
            </w:r>
          </w:p>
        </w:tc>
        <w:tc>
          <w:tcPr>
            <w:tcW w:w="342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经常性赠与</w:t>
            </w:r>
          </w:p>
        </w:tc>
        <w:tc>
          <w:tcPr>
            <w:tcW w:w="11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1"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30310</w:t>
            </w:r>
          </w:p>
        </w:tc>
        <w:tc>
          <w:tcPr>
            <w:tcW w:w="3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个人农业生产补贴</w:t>
            </w:r>
          </w:p>
        </w:tc>
        <w:tc>
          <w:tcPr>
            <w:tcW w:w="129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30231</w:t>
            </w:r>
          </w:p>
        </w:tc>
        <w:tc>
          <w:tcPr>
            <w:tcW w:w="26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公务用车运行维护费</w:t>
            </w:r>
          </w:p>
        </w:tc>
        <w:tc>
          <w:tcPr>
            <w:tcW w:w="11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39910</w:t>
            </w:r>
          </w:p>
        </w:tc>
        <w:tc>
          <w:tcPr>
            <w:tcW w:w="342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资本性赠与</w:t>
            </w:r>
          </w:p>
        </w:tc>
        <w:tc>
          <w:tcPr>
            <w:tcW w:w="11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1"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30311</w:t>
            </w:r>
          </w:p>
        </w:tc>
        <w:tc>
          <w:tcPr>
            <w:tcW w:w="3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代缴社会保险费</w:t>
            </w:r>
          </w:p>
        </w:tc>
        <w:tc>
          <w:tcPr>
            <w:tcW w:w="129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30239</w:t>
            </w:r>
          </w:p>
        </w:tc>
        <w:tc>
          <w:tcPr>
            <w:tcW w:w="26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其他交通费用</w:t>
            </w:r>
          </w:p>
        </w:tc>
        <w:tc>
          <w:tcPr>
            <w:tcW w:w="11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8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39999</w:t>
            </w:r>
          </w:p>
        </w:tc>
        <w:tc>
          <w:tcPr>
            <w:tcW w:w="342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其他支出</w:t>
            </w:r>
          </w:p>
        </w:tc>
        <w:tc>
          <w:tcPr>
            <w:tcW w:w="11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1"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30399</w:t>
            </w:r>
          </w:p>
        </w:tc>
        <w:tc>
          <w:tcPr>
            <w:tcW w:w="3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其他对个人和家庭的补助</w:t>
            </w:r>
          </w:p>
        </w:tc>
        <w:tc>
          <w:tcPr>
            <w:tcW w:w="129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118.10</w:t>
            </w:r>
          </w:p>
        </w:tc>
        <w:tc>
          <w:tcPr>
            <w:tcW w:w="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30240</w:t>
            </w:r>
          </w:p>
        </w:tc>
        <w:tc>
          <w:tcPr>
            <w:tcW w:w="26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税金及附加费用</w:t>
            </w:r>
          </w:p>
        </w:tc>
        <w:tc>
          <w:tcPr>
            <w:tcW w:w="11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3.98</w:t>
            </w:r>
          </w:p>
        </w:tc>
        <w:tc>
          <w:tcPr>
            <w:tcW w:w="870"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3420"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1125"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1"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3840"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1290"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8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30299</w:t>
            </w:r>
          </w:p>
        </w:tc>
        <w:tc>
          <w:tcPr>
            <w:tcW w:w="26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其他商品和服务支出</w:t>
            </w:r>
          </w:p>
        </w:tc>
        <w:tc>
          <w:tcPr>
            <w:tcW w:w="111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0.88</w:t>
            </w:r>
          </w:p>
        </w:tc>
        <w:tc>
          <w:tcPr>
            <w:tcW w:w="870"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3420"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1125"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671" w:type="dxa"/>
            <w:gridSpan w:val="2"/>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人员经费合计</w:t>
            </w:r>
          </w:p>
        </w:tc>
        <w:tc>
          <w:tcPr>
            <w:tcW w:w="129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15,116.40</w:t>
            </w:r>
          </w:p>
        </w:tc>
        <w:tc>
          <w:tcPr>
            <w:tcW w:w="8865" w:type="dxa"/>
            <w:gridSpan w:val="5"/>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公用经费合计</w:t>
            </w:r>
          </w:p>
        </w:tc>
        <w:tc>
          <w:tcPr>
            <w:tcW w:w="112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1,466.40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5951" w:type="dxa"/>
            <w:gridSpan w:val="9"/>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注：本表反映部门本年度一般公共预算财政拨款基本支出明细情况。</w:t>
            </w:r>
          </w:p>
        </w:tc>
      </w:tr>
    </w:tbl>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tbl>
      <w:tblPr>
        <w:tblStyle w:val="10"/>
        <w:tblW w:w="150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882"/>
        <w:gridCol w:w="317"/>
        <w:gridCol w:w="317"/>
        <w:gridCol w:w="1567"/>
        <w:gridCol w:w="1512"/>
        <w:gridCol w:w="1512"/>
        <w:gridCol w:w="1512"/>
        <w:gridCol w:w="1512"/>
        <w:gridCol w:w="1512"/>
        <w:gridCol w:w="23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5000" w:type="dxa"/>
            <w:gridSpan w:val="10"/>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政府性基金预算财政拨款收入支出决算表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公开07表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部门：湖南工程学院</w:t>
            </w: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4"/>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1680"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年初结转和结余</w:t>
            </w:r>
          </w:p>
        </w:tc>
        <w:tc>
          <w:tcPr>
            <w:tcW w:w="1680"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本年收入</w:t>
            </w:r>
          </w:p>
        </w:tc>
        <w:tc>
          <w:tcPr>
            <w:tcW w:w="5040" w:type="dxa"/>
            <w:gridSpan w:val="3"/>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w:t>
            </w:r>
          </w:p>
        </w:tc>
        <w:tc>
          <w:tcPr>
            <w:tcW w:w="1680"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gridSpan w:val="3"/>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0" w:type="auto"/>
            <w:vMerge w:val="restart"/>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68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68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680"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1680"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1680"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c>
          <w:tcPr>
            <w:tcW w:w="168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gridSpan w:val="3"/>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nil"/>
              <w:left w:val="nil"/>
              <w:bottom w:val="single" w:color="D4D4D4" w:sz="4" w:space="0"/>
              <w:right w:val="single" w:color="D4D4D4"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68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68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68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68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68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68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990" w:type="dxa"/>
            <w:gridSpan w:val="3"/>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nil"/>
              <w:left w:val="nil"/>
              <w:bottom w:val="single" w:color="D4D4D4" w:sz="4" w:space="0"/>
              <w:right w:val="single" w:color="D4D4D4"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68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68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68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68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68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680"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4"/>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0" w:type="auto"/>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4"/>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0" w:type="auto"/>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b/>
                <w:bCs/>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b/>
                <w:bCs/>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b/>
                <w:bCs/>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b/>
                <w:bCs/>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b/>
                <w:bCs/>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3"/>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0" w:type="auto"/>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10"/>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注：本表反映部门本年度政府性基金预算财政拨款收入、支出及结转和结余情况。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gridSpan w:val="10"/>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说明：我单位没有政府性基金收入，也没有使用政府性基金安排的支出，故本表无数据。</w:t>
            </w:r>
          </w:p>
        </w:tc>
      </w:tr>
    </w:tbl>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tbl>
      <w:tblPr>
        <w:tblStyle w:val="10"/>
        <w:tblW w:w="1506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147"/>
        <w:gridCol w:w="236"/>
        <w:gridCol w:w="488"/>
        <w:gridCol w:w="2625"/>
        <w:gridCol w:w="2385"/>
        <w:gridCol w:w="3563"/>
        <w:gridCol w:w="36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5066" w:type="dxa"/>
            <w:gridSpan w:val="7"/>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国有资本经营预算财政拨款支出决算表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14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3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8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62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38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563"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622"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公开08表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147"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部门：湖南工程学院</w:t>
            </w:r>
          </w:p>
        </w:tc>
        <w:tc>
          <w:tcPr>
            <w:tcW w:w="23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48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62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385"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563"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3622"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496" w:type="dxa"/>
            <w:gridSpan w:val="4"/>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9570" w:type="dxa"/>
            <w:gridSpan w:val="3"/>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871" w:type="dxa"/>
            <w:gridSpan w:val="3"/>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2625" w:type="dxa"/>
            <w:vMerge w:val="restart"/>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2385"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3563"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3622"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871" w:type="dxa"/>
            <w:gridSpan w:val="3"/>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625" w:type="dxa"/>
            <w:vMerge w:val="continue"/>
            <w:tcBorders>
              <w:top w:val="nil"/>
              <w:left w:val="nil"/>
              <w:bottom w:val="single" w:color="D4D4D4" w:sz="4" w:space="0"/>
              <w:right w:val="single" w:color="D4D4D4"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2385"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3563"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3622"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871" w:type="dxa"/>
            <w:gridSpan w:val="3"/>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2625" w:type="dxa"/>
            <w:vMerge w:val="continue"/>
            <w:tcBorders>
              <w:top w:val="nil"/>
              <w:left w:val="nil"/>
              <w:bottom w:val="single" w:color="D4D4D4" w:sz="4" w:space="0"/>
              <w:right w:val="single" w:color="D4D4D4"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2385"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3563"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3622"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496" w:type="dxa"/>
            <w:gridSpan w:val="4"/>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2385"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563"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3622"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496" w:type="dxa"/>
            <w:gridSpan w:val="4"/>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2385"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b/>
                <w:bCs/>
                <w:i w:val="0"/>
                <w:iCs w:val="0"/>
                <w:color w:val="000000"/>
                <w:sz w:val="22"/>
                <w:szCs w:val="22"/>
                <w:u w:val="none"/>
              </w:rPr>
            </w:pPr>
          </w:p>
        </w:tc>
        <w:tc>
          <w:tcPr>
            <w:tcW w:w="3563"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0.00</w:t>
            </w:r>
          </w:p>
        </w:tc>
        <w:tc>
          <w:tcPr>
            <w:tcW w:w="3622"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871" w:type="dxa"/>
            <w:gridSpan w:val="3"/>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2625" w:type="dxa"/>
            <w:tcBorders>
              <w:top w:val="nil"/>
              <w:left w:val="nil"/>
              <w:bottom w:val="single" w:color="D4D4D4" w:sz="4" w:space="0"/>
              <w:right w:val="single" w:color="D4D4D4" w:sz="4" w:space="0"/>
            </w:tcBorders>
            <w:shd w:val="clear" w:color="auto" w:fill="auto"/>
            <w:noWrap/>
            <w:vAlign w:val="center"/>
          </w:tcPr>
          <w:p>
            <w:pPr>
              <w:jc w:val="left"/>
              <w:rPr>
                <w:rFonts w:hint="eastAsia" w:ascii="宋体" w:hAnsi="宋体" w:eastAsia="宋体" w:cs="宋体"/>
                <w:i w:val="0"/>
                <w:iCs w:val="0"/>
                <w:color w:val="000000"/>
                <w:sz w:val="22"/>
                <w:szCs w:val="22"/>
                <w:u w:val="none"/>
              </w:rPr>
            </w:pPr>
          </w:p>
        </w:tc>
        <w:tc>
          <w:tcPr>
            <w:tcW w:w="2385"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563"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c>
          <w:tcPr>
            <w:tcW w:w="3622" w:type="dxa"/>
            <w:tcBorders>
              <w:top w:val="nil"/>
              <w:left w:val="nil"/>
              <w:bottom w:val="single" w:color="D4D4D4" w:sz="4" w:space="0"/>
              <w:right w:val="single" w:color="D4D4D4" w:sz="4" w:space="0"/>
            </w:tcBorders>
            <w:shd w:val="clear" w:color="auto" w:fill="auto"/>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5066" w:type="dxa"/>
            <w:gridSpan w:val="7"/>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注：本表反映部门本年度国有资本经营预算财政拨款支出情况。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5066" w:type="dxa"/>
            <w:gridSpan w:val="7"/>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说明：我单位没有使用国有资本经营预算安排的支出，故本表无数据。</w:t>
            </w:r>
          </w:p>
        </w:tc>
      </w:tr>
    </w:tbl>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p>
      <w:pPr>
        <w:pStyle w:val="2"/>
        <w:ind w:left="0" w:leftChars="0" w:firstLine="0" w:firstLineChars="0"/>
        <w:rPr>
          <w:rFonts w:hint="eastAsia" w:ascii="黑体" w:hAnsi="宋体" w:eastAsia="黑体" w:cs="黑体"/>
          <w:i w:val="0"/>
          <w:color w:val="000000"/>
          <w:sz w:val="24"/>
          <w:szCs w:val="24"/>
          <w:highlight w:val="none"/>
          <w:u w:val="none"/>
        </w:rPr>
      </w:pPr>
    </w:p>
    <w:tbl>
      <w:tblPr>
        <w:tblStyle w:val="10"/>
        <w:tblW w:w="154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98"/>
        <w:gridCol w:w="1682"/>
        <w:gridCol w:w="1234"/>
        <w:gridCol w:w="946"/>
        <w:gridCol w:w="1344"/>
        <w:gridCol w:w="1166"/>
        <w:gridCol w:w="1193"/>
        <w:gridCol w:w="1179"/>
        <w:gridCol w:w="1440"/>
        <w:gridCol w:w="1070"/>
        <w:gridCol w:w="1221"/>
        <w:gridCol w:w="20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7" w:hRule="atLeast"/>
        </w:trPr>
        <w:tc>
          <w:tcPr>
            <w:tcW w:w="15480" w:type="dxa"/>
            <w:gridSpan w:val="12"/>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黑体" w:hAnsi="宋体" w:eastAsia="黑体" w:cs="黑体"/>
                <w:i w:val="0"/>
                <w:iCs w:val="0"/>
                <w:color w:val="000000"/>
                <w:sz w:val="44"/>
                <w:szCs w:val="44"/>
                <w:u w:val="none"/>
              </w:rPr>
            </w:pPr>
            <w:r>
              <w:rPr>
                <w:rFonts w:hint="eastAsia" w:ascii="黑体" w:hAnsi="宋体" w:eastAsia="黑体" w:cs="黑体"/>
                <w:i w:val="0"/>
                <w:iCs w:val="0"/>
                <w:color w:val="000000"/>
                <w:kern w:val="0"/>
                <w:sz w:val="30"/>
                <w:szCs w:val="30"/>
                <w:u w:val="none"/>
                <w:lang w:val="en-US" w:eastAsia="zh-CN" w:bidi="ar"/>
              </w:rPr>
              <w:t>财政拨款“三公”经费支出决算表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4" w:hRule="atLeast"/>
        </w:trPr>
        <w:tc>
          <w:tcPr>
            <w:tcW w:w="99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682"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3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4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34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6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93"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79"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44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7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21"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007"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公开09表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0" w:hRule="atLeast"/>
        </w:trPr>
        <w:tc>
          <w:tcPr>
            <w:tcW w:w="998"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部门：湖南工程学院</w:t>
            </w:r>
          </w:p>
        </w:tc>
        <w:tc>
          <w:tcPr>
            <w:tcW w:w="1682"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3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4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34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66"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93"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79"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44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70"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221"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007"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4" w:hRule="atLeast"/>
        </w:trPr>
        <w:tc>
          <w:tcPr>
            <w:tcW w:w="7370" w:type="dxa"/>
            <w:gridSpan w:val="6"/>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预算数</w:t>
            </w:r>
          </w:p>
        </w:tc>
        <w:tc>
          <w:tcPr>
            <w:tcW w:w="8110" w:type="dxa"/>
            <w:gridSpan w:val="6"/>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trPr>
        <w:tc>
          <w:tcPr>
            <w:tcW w:w="998"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682"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因公出国（境）费</w:t>
            </w:r>
          </w:p>
        </w:tc>
        <w:tc>
          <w:tcPr>
            <w:tcW w:w="3524" w:type="dxa"/>
            <w:gridSpan w:val="3"/>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1166"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c>
          <w:tcPr>
            <w:tcW w:w="1193"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179"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因公出国（境）费</w:t>
            </w:r>
          </w:p>
        </w:tc>
        <w:tc>
          <w:tcPr>
            <w:tcW w:w="3731" w:type="dxa"/>
            <w:gridSpan w:val="3"/>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2007" w:type="dxa"/>
            <w:vMerge w:val="restart"/>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9" w:hRule="atLeast"/>
        </w:trPr>
        <w:tc>
          <w:tcPr>
            <w:tcW w:w="998"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682"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234" w:type="dxa"/>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946" w:type="dxa"/>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公务用车购置费</w:t>
            </w:r>
          </w:p>
        </w:tc>
        <w:tc>
          <w:tcPr>
            <w:tcW w:w="1344" w:type="dxa"/>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公务用车运行维护费</w:t>
            </w:r>
          </w:p>
        </w:tc>
        <w:tc>
          <w:tcPr>
            <w:tcW w:w="1166"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93"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179"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440" w:type="dxa"/>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1070" w:type="dxa"/>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公务用车购置费</w:t>
            </w:r>
          </w:p>
        </w:tc>
        <w:tc>
          <w:tcPr>
            <w:tcW w:w="1221" w:type="dxa"/>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公务用车运行维护费</w:t>
            </w:r>
          </w:p>
        </w:tc>
        <w:tc>
          <w:tcPr>
            <w:tcW w:w="2007" w:type="dxa"/>
            <w:vMerge w:val="continue"/>
            <w:tcBorders>
              <w:top w:val="nil"/>
              <w:left w:val="nil"/>
              <w:bottom w:val="single" w:color="D4D4D4" w:sz="4" w:space="0"/>
              <w:right w:val="single" w:color="D4D4D4"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trPr>
        <w:tc>
          <w:tcPr>
            <w:tcW w:w="998" w:type="dxa"/>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682" w:type="dxa"/>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234" w:type="dxa"/>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946" w:type="dxa"/>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344" w:type="dxa"/>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166" w:type="dxa"/>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193" w:type="dxa"/>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179" w:type="dxa"/>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440" w:type="dxa"/>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070" w:type="dxa"/>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221" w:type="dxa"/>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2007" w:type="dxa"/>
            <w:tcBorders>
              <w:top w:val="nil"/>
              <w:left w:val="nil"/>
              <w:bottom w:val="single" w:color="D4D4D4" w:sz="4" w:space="0"/>
              <w:right w:val="single" w:color="D4D4D4"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998"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682"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34"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94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66"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93"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79"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44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070"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221"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2007" w:type="dxa"/>
            <w:tcBorders>
              <w:top w:val="nil"/>
              <w:left w:val="nil"/>
              <w:bottom w:val="single" w:color="D4D4D4" w:sz="4" w:space="0"/>
              <w:right w:val="single" w:color="D4D4D4"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6" w:hRule="atLeast"/>
        </w:trPr>
        <w:tc>
          <w:tcPr>
            <w:tcW w:w="15480" w:type="dxa"/>
            <w:gridSpan w:val="1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pStyle w:val="2"/>
        <w:ind w:left="0" w:leftChars="0" w:firstLine="0" w:firstLineChars="0"/>
        <w:rPr>
          <w:rFonts w:hint="eastAsia" w:ascii="黑体" w:hAnsi="宋体" w:eastAsia="黑体" w:cs="黑体"/>
          <w:i w:val="0"/>
          <w:color w:val="000000"/>
          <w:sz w:val="24"/>
          <w:szCs w:val="24"/>
          <w:highlight w:val="none"/>
          <w:u w:val="none"/>
        </w:rPr>
        <w:sectPr>
          <w:pgSz w:w="16838" w:h="11906" w:orient="landscape"/>
          <w:pgMar w:top="720" w:right="720" w:bottom="720" w:left="720" w:header="851" w:footer="992" w:gutter="0"/>
          <w:cols w:space="425" w:num="1"/>
          <w:docGrid w:type="lines" w:linePitch="312" w:charSpace="0"/>
        </w:sectPr>
      </w:pPr>
    </w:p>
    <w:p>
      <w:pPr>
        <w:pStyle w:val="14"/>
        <w:rPr>
          <w:rFonts w:ascii="Times New Roman" w:hAnsi="Times New Roman" w:eastAsia="黑体" w:cs="Times New Roman"/>
          <w:bCs/>
          <w:kern w:val="0"/>
          <w:sz w:val="32"/>
          <w:szCs w:val="32"/>
          <w:highlight w:val="none"/>
        </w:rPr>
      </w:pPr>
      <w:r>
        <w:rPr>
          <w:rFonts w:ascii="Times New Roman" w:hAnsi="Times New Roman" w:eastAsia="黑体" w:cs="Times New Roman"/>
          <w:bCs/>
          <w:kern w:val="0"/>
          <w:sz w:val="32"/>
          <w:szCs w:val="32"/>
          <w:highlight w:val="none"/>
        </w:rPr>
        <w:t xml:space="preserve"> </w:t>
      </w:r>
    </w:p>
    <w:p>
      <w:pPr>
        <w:pStyle w:val="14"/>
        <w:rPr>
          <w:rFonts w:ascii="Times New Roman" w:hAnsi="Times New Roman" w:eastAsia="黑体" w:cs="Times New Roman"/>
          <w:bCs/>
          <w:kern w:val="0"/>
          <w:sz w:val="32"/>
          <w:szCs w:val="32"/>
          <w:highlight w:val="none"/>
        </w:rPr>
      </w:pPr>
    </w:p>
    <w:p>
      <w:pPr>
        <w:pStyle w:val="14"/>
        <w:rPr>
          <w:rFonts w:ascii="Times New Roman" w:hAnsi="Times New Roman" w:eastAsia="黑体" w:cs="Times New Roman"/>
          <w:bCs/>
          <w:kern w:val="0"/>
          <w:sz w:val="32"/>
          <w:szCs w:val="32"/>
          <w:highlight w:val="none"/>
        </w:rPr>
      </w:pPr>
    </w:p>
    <w:p>
      <w:pPr>
        <w:pStyle w:val="14"/>
        <w:rPr>
          <w:rFonts w:ascii="Times New Roman" w:hAnsi="Times New Roman" w:eastAsia="黑体" w:cs="Times New Roman"/>
          <w:bCs/>
          <w:kern w:val="0"/>
          <w:sz w:val="32"/>
          <w:szCs w:val="32"/>
          <w:highlight w:val="none"/>
        </w:rPr>
      </w:pPr>
    </w:p>
    <w:p>
      <w:pPr>
        <w:pStyle w:val="14"/>
        <w:rPr>
          <w:rFonts w:ascii="Times New Roman" w:hAnsi="Times New Roman" w:eastAsia="黑体" w:cs="Times New Roman"/>
          <w:bCs/>
          <w:kern w:val="0"/>
          <w:sz w:val="32"/>
          <w:szCs w:val="32"/>
          <w:highlight w:val="none"/>
        </w:rPr>
      </w:pPr>
    </w:p>
    <w:p>
      <w:pPr>
        <w:pStyle w:val="14"/>
        <w:rPr>
          <w:rFonts w:ascii="Times New Roman" w:hAnsi="Times New Roman" w:eastAsia="黑体" w:cs="Times New Roman"/>
          <w:bCs/>
          <w:kern w:val="0"/>
          <w:sz w:val="32"/>
          <w:szCs w:val="32"/>
          <w:highlight w:val="none"/>
        </w:rPr>
      </w:pPr>
    </w:p>
    <w:p>
      <w:pPr>
        <w:pStyle w:val="14"/>
        <w:rPr>
          <w:rFonts w:ascii="Times New Roman" w:hAnsi="Times New Roman" w:eastAsia="黑体" w:cs="Times New Roman"/>
          <w:bCs/>
          <w:kern w:val="0"/>
          <w:sz w:val="32"/>
          <w:szCs w:val="32"/>
          <w:highlight w:val="none"/>
        </w:rPr>
      </w:pPr>
    </w:p>
    <w:p>
      <w:pPr>
        <w:pStyle w:val="14"/>
        <w:ind w:firstLine="3600" w:firstLineChars="500"/>
        <w:jc w:val="left"/>
        <w:rPr>
          <w:rFonts w:hint="eastAsia" w:ascii="方正小标宋_GBK" w:hAnsi="方正小标宋_GBK" w:eastAsia="方正小标宋_GBK" w:cs="方正小标宋_GBK"/>
          <w:sz w:val="72"/>
          <w:szCs w:val="72"/>
          <w:highlight w:val="none"/>
        </w:rPr>
      </w:pPr>
      <w:r>
        <w:rPr>
          <w:rFonts w:hint="eastAsia" w:ascii="方正小标宋_GBK" w:hAnsi="方正小标宋_GBK" w:eastAsia="方正小标宋_GBK" w:cs="方正小标宋_GBK"/>
          <w:sz w:val="72"/>
          <w:szCs w:val="72"/>
          <w:highlight w:val="none"/>
        </w:rPr>
        <w:t>第三部分</w:t>
      </w:r>
    </w:p>
    <w:p>
      <w:pPr>
        <w:pStyle w:val="14"/>
        <w:jc w:val="center"/>
        <w:rPr>
          <w:rFonts w:hint="eastAsia" w:ascii="方正小标宋_GBK" w:hAnsi="方正小标宋_GBK" w:eastAsia="方正小标宋_GBK" w:cs="方正小标宋_GBK"/>
          <w:sz w:val="70"/>
          <w:szCs w:val="70"/>
          <w:highlight w:val="none"/>
        </w:rPr>
      </w:pPr>
    </w:p>
    <w:p>
      <w:pPr>
        <w:pStyle w:val="14"/>
        <w:jc w:val="center"/>
        <w:rPr>
          <w:rFonts w:hint="eastAsia" w:ascii="方正小标宋_GBK" w:hAnsi="方正小标宋_GBK" w:eastAsia="方正小标宋_GBK" w:cs="方正小标宋_GBK"/>
          <w:sz w:val="70"/>
          <w:szCs w:val="70"/>
          <w:highlight w:val="none"/>
        </w:rPr>
      </w:pPr>
      <w:r>
        <w:rPr>
          <w:rFonts w:hint="eastAsia" w:ascii="方正小标宋_GBK" w:hAnsi="方正小标宋_GBK" w:eastAsia="方正小标宋_GBK" w:cs="方正小标宋_GBK"/>
          <w:sz w:val="70"/>
          <w:szCs w:val="70"/>
          <w:highlight w:val="none"/>
        </w:rPr>
        <w:t>202</w:t>
      </w:r>
      <w:r>
        <w:rPr>
          <w:rFonts w:hint="eastAsia" w:ascii="方正小标宋_GBK" w:hAnsi="方正小标宋_GBK" w:eastAsia="方正小标宋_GBK" w:cs="方正小标宋_GBK"/>
          <w:sz w:val="70"/>
          <w:szCs w:val="70"/>
          <w:highlight w:val="none"/>
          <w:lang w:val="en-US" w:eastAsia="zh-CN"/>
        </w:rPr>
        <w:t>3</w:t>
      </w:r>
      <w:r>
        <w:rPr>
          <w:rFonts w:hint="eastAsia" w:ascii="方正小标宋_GBK" w:hAnsi="方正小标宋_GBK" w:eastAsia="方正小标宋_GBK" w:cs="方正小标宋_GBK"/>
          <w:sz w:val="70"/>
          <w:szCs w:val="70"/>
          <w:highlight w:val="none"/>
        </w:rPr>
        <w:t>年度部门决算情况说明</w:t>
      </w:r>
    </w:p>
    <w:p>
      <w:pPr>
        <w:widowControl/>
        <w:jc w:val="left"/>
        <w:rPr>
          <w:rFonts w:asciiTheme="minorEastAsia" w:hAnsiTheme="minorEastAsia" w:eastAsiaTheme="minorEastAsia"/>
          <w:sz w:val="32"/>
          <w:szCs w:val="32"/>
          <w:highlight w:val="none"/>
        </w:rPr>
      </w:pPr>
      <w:r>
        <w:rPr>
          <w:rFonts w:hint="eastAsia" w:ascii="方正小标宋_GBK" w:hAnsi="方正小标宋_GBK" w:eastAsia="方正小标宋_GBK" w:cs="方正小标宋_GBK"/>
          <w:sz w:val="70"/>
          <w:szCs w:val="70"/>
          <w:highlight w:val="none"/>
        </w:rPr>
        <w:br w:type="page"/>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一、收入支出决算总体情况说明</w:t>
      </w:r>
    </w:p>
    <w:p>
      <w:pPr>
        <w:widowControl/>
        <w:spacing w:line="560" w:lineRule="exact"/>
        <w:ind w:firstLine="640" w:firstLineChars="200"/>
        <w:rPr>
          <w:rFonts w:hint="default"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年度</w:t>
      </w:r>
      <w:r>
        <w:rPr>
          <w:rFonts w:hint="eastAsia" w:ascii="Times New Roman" w:hAnsi="Times New Roman" w:eastAsia="仿宋_GB2312"/>
          <w:sz w:val="32"/>
          <w:szCs w:val="32"/>
          <w:highlight w:val="none"/>
          <w:lang w:val="en-US" w:eastAsia="zh-CN"/>
        </w:rPr>
        <w:t>决算总收入67,655.30万元。</w:t>
      </w:r>
      <w:r>
        <w:rPr>
          <w:rFonts w:hint="eastAsia" w:ascii="Times New Roman" w:hAnsi="Times New Roman" w:eastAsia="仿宋_GB2312"/>
          <w:sz w:val="32"/>
          <w:szCs w:val="32"/>
          <w:highlight w:val="none"/>
        </w:rPr>
        <w:t>与上年相比，减少</w:t>
      </w:r>
      <w:r>
        <w:rPr>
          <w:rFonts w:hint="eastAsia" w:ascii="Times New Roman" w:hAnsi="Times New Roman" w:eastAsia="仿宋_GB2312"/>
          <w:sz w:val="32"/>
          <w:szCs w:val="32"/>
          <w:highlight w:val="none"/>
          <w:lang w:val="en-US" w:eastAsia="zh-CN"/>
        </w:rPr>
        <w:t>7,917.47</w:t>
      </w:r>
      <w:r>
        <w:rPr>
          <w:rFonts w:hint="eastAsia" w:ascii="Times New Roman" w:hAnsi="Times New Roman" w:eastAsia="仿宋_GB2312"/>
          <w:sz w:val="32"/>
          <w:szCs w:val="32"/>
          <w:highlight w:val="none"/>
        </w:rPr>
        <w:t>万元，减少</w:t>
      </w:r>
      <w:r>
        <w:rPr>
          <w:rFonts w:hint="eastAsia" w:ascii="Times New Roman" w:hAnsi="Times New Roman" w:eastAsia="仿宋_GB2312"/>
          <w:sz w:val="32"/>
          <w:szCs w:val="32"/>
          <w:highlight w:val="none"/>
          <w:lang w:val="en-US" w:eastAsia="zh-CN"/>
        </w:rPr>
        <w:t>10.48</w:t>
      </w:r>
      <w:r>
        <w:rPr>
          <w:rFonts w:hint="eastAsia" w:ascii="Times New Roman" w:hAnsi="Times New Roman" w:eastAsia="仿宋_GB2312"/>
          <w:sz w:val="32"/>
          <w:szCs w:val="32"/>
          <w:highlight w:val="none"/>
        </w:rPr>
        <w:t>%，主要是</w:t>
      </w:r>
      <w:r>
        <w:rPr>
          <w:rFonts w:hint="eastAsia" w:ascii="Times New Roman" w:hAnsi="Times New Roman" w:eastAsia="仿宋_GB2312"/>
          <w:sz w:val="32"/>
          <w:szCs w:val="32"/>
          <w:highlight w:val="none"/>
          <w:lang w:val="en-US" w:eastAsia="zh-CN"/>
        </w:rPr>
        <w:t>因为本年度债务收入减少。2023年总支出63,690.59万元。与上年相比，减少7,030.13万元，减少9.94%，主要原因是2023年度形成的基建、设备等支出减少。当年收支结余3,964.71万元，与上年相比减少18.29%。</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二、收入决算情况说明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年度收入合计</w:t>
      </w:r>
      <w:r>
        <w:rPr>
          <w:rFonts w:hint="eastAsia" w:ascii="Times New Roman" w:hAnsi="Times New Roman" w:eastAsia="仿宋_GB2312"/>
          <w:sz w:val="32"/>
          <w:szCs w:val="32"/>
          <w:highlight w:val="none"/>
          <w:lang w:val="en-US" w:eastAsia="zh-CN"/>
        </w:rPr>
        <w:t>67,655.30</w:t>
      </w:r>
      <w:r>
        <w:rPr>
          <w:rFonts w:hint="eastAsia" w:ascii="Times New Roman" w:hAnsi="Times New Roman" w:eastAsia="仿宋_GB2312"/>
          <w:sz w:val="32"/>
          <w:szCs w:val="32"/>
          <w:highlight w:val="none"/>
        </w:rPr>
        <w:t>万元，其中：财政拨款收入</w:t>
      </w:r>
      <w:r>
        <w:rPr>
          <w:rFonts w:hint="eastAsia" w:ascii="Times New Roman" w:hAnsi="Times New Roman" w:eastAsia="仿宋_GB2312"/>
          <w:sz w:val="32"/>
          <w:szCs w:val="32"/>
          <w:highlight w:val="none"/>
          <w:lang w:val="en-US" w:eastAsia="zh-CN"/>
        </w:rPr>
        <w:t>34,420.14</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50.88</w:t>
      </w:r>
      <w:r>
        <w:rPr>
          <w:rFonts w:hint="eastAsia" w:ascii="Times New Roman" w:hAnsi="Times New Roman" w:eastAsia="仿宋_GB2312"/>
          <w:sz w:val="32"/>
          <w:szCs w:val="32"/>
          <w:highlight w:val="none"/>
        </w:rPr>
        <w:t>%；上级补助收入</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%；事业收入</w:t>
      </w:r>
      <w:r>
        <w:rPr>
          <w:rFonts w:hint="eastAsia" w:ascii="Times New Roman" w:hAnsi="Times New Roman" w:eastAsia="仿宋_GB2312"/>
          <w:sz w:val="32"/>
          <w:szCs w:val="32"/>
          <w:highlight w:val="none"/>
          <w:lang w:val="en-US" w:eastAsia="zh-CN"/>
        </w:rPr>
        <w:t>27,091.78</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40.04</w:t>
      </w:r>
      <w:r>
        <w:rPr>
          <w:rFonts w:hint="eastAsia" w:ascii="Times New Roman" w:hAnsi="Times New Roman" w:eastAsia="仿宋_GB2312"/>
          <w:sz w:val="32"/>
          <w:szCs w:val="32"/>
          <w:highlight w:val="none"/>
        </w:rPr>
        <w:t>%；经营收入</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%；附属单位上缴收入</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%；其他收入</w:t>
      </w:r>
      <w:r>
        <w:rPr>
          <w:rFonts w:hint="eastAsia" w:ascii="Times New Roman" w:hAnsi="Times New Roman" w:eastAsia="仿宋_GB2312"/>
          <w:sz w:val="32"/>
          <w:szCs w:val="32"/>
          <w:highlight w:val="none"/>
          <w:lang w:val="en-US" w:eastAsia="zh-CN"/>
        </w:rPr>
        <w:t>6,143.38</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9.08</w:t>
      </w:r>
      <w:r>
        <w:rPr>
          <w:rFonts w:hint="eastAsia" w:ascii="Times New Roman" w:hAnsi="Times New Roman" w:eastAsia="仿宋_GB2312"/>
          <w:sz w:val="32"/>
          <w:szCs w:val="32"/>
          <w:highlight w:val="none"/>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三、支出决算情况说明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年度支出合计</w:t>
      </w:r>
      <w:r>
        <w:rPr>
          <w:rFonts w:hint="eastAsia" w:ascii="Times New Roman" w:hAnsi="Times New Roman" w:eastAsia="仿宋_GB2312"/>
          <w:sz w:val="32"/>
          <w:szCs w:val="32"/>
          <w:highlight w:val="none"/>
          <w:lang w:val="en-US" w:eastAsia="zh-CN"/>
        </w:rPr>
        <w:t>63,690.59</w:t>
      </w:r>
      <w:r>
        <w:rPr>
          <w:rFonts w:hint="eastAsia" w:ascii="Times New Roman" w:hAnsi="Times New Roman" w:eastAsia="仿宋_GB2312"/>
          <w:sz w:val="32"/>
          <w:szCs w:val="32"/>
          <w:highlight w:val="none"/>
        </w:rPr>
        <w:t>万元，其中：基本支出</w:t>
      </w:r>
      <w:r>
        <w:rPr>
          <w:rFonts w:hint="eastAsia" w:ascii="Times New Roman" w:hAnsi="Times New Roman" w:eastAsia="仿宋_GB2312"/>
          <w:sz w:val="32"/>
          <w:szCs w:val="32"/>
          <w:highlight w:val="none"/>
          <w:lang w:val="en-US" w:eastAsia="zh-CN"/>
        </w:rPr>
        <w:t>37,246.91</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58.49</w:t>
      </w:r>
      <w:r>
        <w:rPr>
          <w:rFonts w:hint="eastAsia" w:ascii="Times New Roman" w:hAnsi="Times New Roman" w:eastAsia="仿宋_GB2312"/>
          <w:sz w:val="32"/>
          <w:szCs w:val="32"/>
          <w:highlight w:val="none"/>
        </w:rPr>
        <w:t>%；项目支出</w:t>
      </w:r>
      <w:r>
        <w:rPr>
          <w:rFonts w:hint="eastAsia" w:ascii="Times New Roman" w:hAnsi="Times New Roman" w:eastAsia="仿宋_GB2312"/>
          <w:sz w:val="32"/>
          <w:szCs w:val="32"/>
          <w:highlight w:val="none"/>
          <w:lang w:val="en-US" w:eastAsia="zh-CN"/>
        </w:rPr>
        <w:t>26,443.69</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41.51</w:t>
      </w:r>
      <w:r>
        <w:rPr>
          <w:rFonts w:hint="eastAsia" w:ascii="Times New Roman" w:hAnsi="Times New Roman" w:eastAsia="仿宋_GB2312"/>
          <w:sz w:val="32"/>
          <w:szCs w:val="32"/>
          <w:highlight w:val="none"/>
        </w:rPr>
        <w:t>%；上缴上级支出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%；经营支出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%；对附属单位补助支出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四、财政拨款收入支出决算总体情况说明</w:t>
      </w:r>
    </w:p>
    <w:p>
      <w:pPr>
        <w:pStyle w:val="14"/>
        <w:keepNext w:val="0"/>
        <w:keepLines w:val="0"/>
        <w:pageBreakBefore w:val="0"/>
        <w:widowControl w:val="0"/>
        <w:kinsoku/>
        <w:wordWrap/>
        <w:overflowPunct/>
        <w:topLinePunct w:val="0"/>
        <w:bidi w:val="0"/>
        <w:snapToGrid/>
        <w:spacing w:line="600" w:lineRule="exact"/>
        <w:textAlignment w:val="auto"/>
        <w:rPr>
          <w:rFonts w:hint="default"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 xml:space="preserve">    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年度财政拨款收</w:t>
      </w:r>
      <w:r>
        <w:rPr>
          <w:rFonts w:hint="eastAsia" w:ascii="Times New Roman" w:hAnsi="Times New Roman" w:eastAsia="仿宋_GB2312"/>
          <w:sz w:val="32"/>
          <w:szCs w:val="32"/>
          <w:highlight w:val="none"/>
          <w:lang w:val="en-US" w:eastAsia="zh-CN"/>
        </w:rPr>
        <w:t>入</w:t>
      </w:r>
      <w:r>
        <w:rPr>
          <w:rFonts w:hint="eastAsia" w:ascii="Times New Roman" w:hAnsi="Times New Roman" w:eastAsia="仿宋_GB2312"/>
          <w:sz w:val="32"/>
          <w:szCs w:val="32"/>
          <w:highlight w:val="none"/>
        </w:rPr>
        <w:t>总计</w:t>
      </w:r>
      <w:r>
        <w:rPr>
          <w:rFonts w:hint="eastAsia" w:ascii="Times New Roman" w:hAnsi="Times New Roman" w:eastAsia="仿宋_GB2312"/>
          <w:sz w:val="32"/>
          <w:szCs w:val="32"/>
          <w:highlight w:val="none"/>
          <w:lang w:val="en-US" w:eastAsia="zh-CN"/>
        </w:rPr>
        <w:t>34,420.14</w:t>
      </w:r>
      <w:r>
        <w:rPr>
          <w:rFonts w:hint="eastAsia" w:ascii="Times New Roman" w:hAnsi="Times New Roman" w:eastAsia="仿宋_GB2312"/>
          <w:sz w:val="32"/>
          <w:szCs w:val="32"/>
          <w:highlight w:val="none"/>
        </w:rPr>
        <w:t>万元，与上年相比，增加</w:t>
      </w:r>
      <w:r>
        <w:rPr>
          <w:rFonts w:hint="eastAsia" w:ascii="Times New Roman" w:hAnsi="Times New Roman" w:eastAsia="仿宋_GB2312"/>
          <w:sz w:val="32"/>
          <w:szCs w:val="32"/>
          <w:highlight w:val="none"/>
          <w:lang w:val="en-US" w:eastAsia="zh-CN"/>
        </w:rPr>
        <w:t>5,041.01</w:t>
      </w:r>
      <w:r>
        <w:rPr>
          <w:rFonts w:hint="eastAsia" w:ascii="Times New Roman" w:hAnsi="Times New Roman" w:eastAsia="仿宋_GB2312"/>
          <w:sz w:val="32"/>
          <w:szCs w:val="32"/>
          <w:highlight w:val="none"/>
        </w:rPr>
        <w:t>万元,增长</w:t>
      </w:r>
      <w:r>
        <w:rPr>
          <w:rFonts w:hint="eastAsia" w:ascii="Times New Roman" w:hAnsi="Times New Roman" w:eastAsia="仿宋_GB2312"/>
          <w:sz w:val="32"/>
          <w:szCs w:val="32"/>
          <w:highlight w:val="none"/>
          <w:lang w:val="en-US" w:eastAsia="zh-CN"/>
        </w:rPr>
        <w:t>17.16</w:t>
      </w:r>
      <w:r>
        <w:rPr>
          <w:rFonts w:hint="eastAsia" w:ascii="Times New Roman" w:hAnsi="Times New Roman" w:eastAsia="仿宋_GB2312"/>
          <w:sz w:val="32"/>
          <w:szCs w:val="32"/>
          <w:highlight w:val="none"/>
        </w:rPr>
        <w:t>%，主要是因为</w:t>
      </w:r>
      <w:r>
        <w:rPr>
          <w:rFonts w:hint="eastAsia" w:ascii="Times New Roman" w:hAnsi="Times New Roman" w:eastAsia="仿宋_GB2312"/>
          <w:sz w:val="32"/>
          <w:szCs w:val="32"/>
          <w:highlight w:val="none"/>
          <w:lang w:val="en-US" w:eastAsia="zh-CN"/>
        </w:rPr>
        <w:t>新增</w:t>
      </w:r>
      <w:r>
        <w:rPr>
          <w:rFonts w:hint="eastAsia" w:ascii="Times New Roman" w:hAnsi="Times New Roman" w:eastAsia="仿宋_GB2312"/>
          <w:sz w:val="32"/>
          <w:szCs w:val="32"/>
          <w:highlight w:val="none"/>
        </w:rPr>
        <w:t>教育强国推进工程中央基建投资</w:t>
      </w:r>
      <w:r>
        <w:rPr>
          <w:rFonts w:hint="eastAsia" w:ascii="Times New Roman" w:hAnsi="Times New Roman" w:eastAsia="仿宋_GB2312"/>
          <w:sz w:val="32"/>
          <w:szCs w:val="32"/>
          <w:highlight w:val="none"/>
          <w:lang w:val="en-US" w:eastAsia="zh-CN"/>
        </w:rPr>
        <w:t>资金</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财政拨款支出总计</w:t>
      </w:r>
      <w:r>
        <w:rPr>
          <w:rFonts w:hint="eastAsia" w:ascii="Times New Roman" w:hAnsi="Times New Roman" w:eastAsia="仿宋_GB2312"/>
          <w:sz w:val="32"/>
          <w:szCs w:val="32"/>
          <w:highlight w:val="none"/>
          <w:lang w:val="en-US" w:eastAsia="zh-CN"/>
        </w:rPr>
        <w:t>29,405.97</w:t>
      </w:r>
      <w:r>
        <w:rPr>
          <w:rFonts w:hint="eastAsia" w:ascii="Times New Roman" w:hAnsi="Times New Roman" w:eastAsia="仿宋_GB2312"/>
          <w:sz w:val="32"/>
          <w:szCs w:val="32"/>
          <w:highlight w:val="none"/>
        </w:rPr>
        <w:t>万元，与202</w:t>
      </w:r>
      <w:r>
        <w:rPr>
          <w:rFonts w:hint="eastAsia" w:ascii="Times New Roman" w:hAnsi="Times New Roman" w:eastAsia="仿宋_GB2312"/>
          <w:sz w:val="32"/>
          <w:szCs w:val="32"/>
          <w:highlight w:val="none"/>
          <w:lang w:val="en-US" w:eastAsia="zh-CN"/>
        </w:rPr>
        <w:t>2</w:t>
      </w:r>
      <w:r>
        <w:rPr>
          <w:rFonts w:hint="eastAsia" w:ascii="Times New Roman" w:hAnsi="Times New Roman" w:eastAsia="仿宋_GB2312"/>
          <w:sz w:val="32"/>
          <w:szCs w:val="32"/>
          <w:highlight w:val="none"/>
        </w:rPr>
        <w:t>年决算相比支出</w:t>
      </w:r>
      <w:r>
        <w:rPr>
          <w:rFonts w:hint="eastAsia" w:ascii="Times New Roman" w:hAnsi="Times New Roman" w:eastAsia="仿宋_GB2312"/>
          <w:sz w:val="32"/>
          <w:szCs w:val="32"/>
          <w:highlight w:val="none"/>
          <w:lang w:val="en-US" w:eastAsia="zh-CN"/>
        </w:rPr>
        <w:t>减少455.7</w:t>
      </w:r>
      <w:r>
        <w:rPr>
          <w:rFonts w:hint="eastAsia" w:ascii="Times New Roman" w:hAnsi="Times New Roman" w:eastAsia="仿宋_GB2312"/>
          <w:sz w:val="32"/>
          <w:szCs w:val="32"/>
          <w:highlight w:val="none"/>
        </w:rPr>
        <w:t>万元，</w:t>
      </w:r>
      <w:r>
        <w:rPr>
          <w:rFonts w:hint="eastAsia" w:ascii="Times New Roman" w:hAnsi="Times New Roman" w:eastAsia="仿宋_GB2312"/>
          <w:sz w:val="32"/>
          <w:szCs w:val="32"/>
          <w:highlight w:val="none"/>
          <w:lang w:val="en-US" w:eastAsia="zh-CN"/>
        </w:rPr>
        <w:t xml:space="preserve">减少1.53 </w:t>
      </w:r>
      <w:r>
        <w:rPr>
          <w:rFonts w:hint="eastAsia" w:ascii="Times New Roman" w:hAnsi="Times New Roman" w:eastAsia="仿宋_GB2312"/>
          <w:sz w:val="32"/>
          <w:szCs w:val="32"/>
          <w:highlight w:val="none"/>
        </w:rPr>
        <w:t>%；主要原因是</w:t>
      </w:r>
      <w:r>
        <w:rPr>
          <w:rFonts w:hint="eastAsia" w:ascii="Times New Roman" w:hAnsi="Times New Roman" w:eastAsia="仿宋_GB2312"/>
          <w:sz w:val="32"/>
          <w:szCs w:val="32"/>
          <w:highlight w:val="none"/>
          <w:lang w:val="en-US" w:eastAsia="zh-CN"/>
        </w:rPr>
        <w:t>2023年度形成的基建、设备等支出减少。</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五、一般公共预算财政拨款支出决算情况说明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highlight w:val="none"/>
        </w:rPr>
      </w:pPr>
      <w:r>
        <w:rPr>
          <w:rFonts w:hint="eastAsia" w:ascii="楷体" w:hAnsi="楷体" w:eastAsia="楷体" w:cs="楷体"/>
          <w:b w:val="0"/>
          <w:bCs/>
          <w:sz w:val="32"/>
          <w:szCs w:val="32"/>
          <w:highlight w:val="none"/>
        </w:rPr>
        <w:t>（一）一般公共预算财政拨款支出决算总体情况</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年度财政拨款支出</w:t>
      </w:r>
      <w:r>
        <w:rPr>
          <w:rFonts w:hint="eastAsia" w:ascii="Times New Roman" w:hAnsi="Times New Roman" w:eastAsia="仿宋_GB2312"/>
          <w:sz w:val="32"/>
          <w:szCs w:val="32"/>
          <w:highlight w:val="none"/>
          <w:lang w:val="en-US" w:eastAsia="zh-CN"/>
        </w:rPr>
        <w:t>29,405.97</w:t>
      </w:r>
      <w:r>
        <w:rPr>
          <w:rFonts w:hint="eastAsia" w:ascii="Times New Roman" w:hAnsi="Times New Roman" w:eastAsia="仿宋_GB2312"/>
          <w:sz w:val="32"/>
          <w:szCs w:val="32"/>
          <w:highlight w:val="none"/>
        </w:rPr>
        <w:t>万元，占本年支出合计的</w:t>
      </w:r>
      <w:r>
        <w:rPr>
          <w:rFonts w:hint="eastAsia" w:ascii="Times New Roman" w:hAnsi="Times New Roman" w:eastAsia="仿宋_GB2312"/>
          <w:sz w:val="32"/>
          <w:szCs w:val="32"/>
          <w:highlight w:val="none"/>
          <w:lang w:val="en-US" w:eastAsia="zh-CN"/>
        </w:rPr>
        <w:t>46.17</w:t>
      </w:r>
      <w:r>
        <w:rPr>
          <w:rFonts w:hint="eastAsia" w:ascii="Times New Roman" w:hAnsi="Times New Roman" w:eastAsia="仿宋_GB2312"/>
          <w:sz w:val="32"/>
          <w:szCs w:val="32"/>
          <w:highlight w:val="none"/>
        </w:rPr>
        <w:t>%，与上年相比，财政拨款支出减少</w:t>
      </w:r>
      <w:r>
        <w:rPr>
          <w:rFonts w:hint="eastAsia" w:ascii="Times New Roman" w:hAnsi="Times New Roman" w:eastAsia="仿宋_GB2312"/>
          <w:sz w:val="32"/>
          <w:szCs w:val="32"/>
          <w:highlight w:val="none"/>
          <w:lang w:val="en-US" w:eastAsia="zh-CN"/>
        </w:rPr>
        <w:t>455.7</w:t>
      </w:r>
      <w:r>
        <w:rPr>
          <w:rFonts w:hint="eastAsia" w:ascii="Times New Roman" w:hAnsi="Times New Roman" w:eastAsia="仿宋_GB2312"/>
          <w:sz w:val="32"/>
          <w:szCs w:val="32"/>
          <w:highlight w:val="none"/>
        </w:rPr>
        <w:t>万元，减少</w:t>
      </w:r>
      <w:r>
        <w:rPr>
          <w:rFonts w:hint="eastAsia" w:ascii="Times New Roman" w:hAnsi="Times New Roman" w:eastAsia="仿宋_GB2312"/>
          <w:sz w:val="32"/>
          <w:szCs w:val="32"/>
          <w:highlight w:val="none"/>
          <w:lang w:val="en-US" w:eastAsia="zh-CN"/>
        </w:rPr>
        <w:t>1.53</w:t>
      </w:r>
      <w:r>
        <w:rPr>
          <w:rFonts w:hint="eastAsia" w:ascii="Times New Roman" w:hAnsi="Times New Roman" w:eastAsia="仿宋_GB2312"/>
          <w:sz w:val="32"/>
          <w:szCs w:val="32"/>
          <w:highlight w:val="none"/>
        </w:rPr>
        <w:t>%，主要原因是</w:t>
      </w:r>
      <w:r>
        <w:rPr>
          <w:rFonts w:hint="eastAsia" w:ascii="Times New Roman" w:hAnsi="Times New Roman" w:eastAsia="仿宋_GB2312"/>
          <w:sz w:val="32"/>
          <w:szCs w:val="32"/>
          <w:highlight w:val="none"/>
          <w:lang w:val="en-US" w:eastAsia="zh-CN"/>
        </w:rPr>
        <w:t>基本建设类项目支出减少。</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val="0"/>
          <w:bCs/>
          <w:sz w:val="32"/>
          <w:szCs w:val="32"/>
          <w:highlight w:val="none"/>
        </w:rPr>
      </w:pPr>
      <w:r>
        <w:rPr>
          <w:rFonts w:hint="eastAsia" w:ascii="楷体" w:hAnsi="楷体" w:eastAsia="楷体" w:cs="楷体"/>
          <w:b w:val="0"/>
          <w:bCs/>
          <w:sz w:val="32"/>
          <w:szCs w:val="32"/>
          <w:highlight w:val="none"/>
        </w:rPr>
        <w:t>（二）一般公共预算财政拨款支出决算结构情况</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highlight w:val="none"/>
          <w:lang w:eastAsia="zh-CN"/>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年度财政拨款支出</w:t>
      </w:r>
      <w:r>
        <w:rPr>
          <w:rFonts w:hint="eastAsia" w:ascii="Times New Roman" w:hAnsi="Times New Roman" w:eastAsia="仿宋_GB2312"/>
          <w:sz w:val="32"/>
          <w:szCs w:val="32"/>
          <w:highlight w:val="none"/>
          <w:lang w:val="en-US" w:eastAsia="zh-CN"/>
        </w:rPr>
        <w:t>29,405.97</w:t>
      </w:r>
      <w:r>
        <w:rPr>
          <w:rFonts w:hint="eastAsia" w:ascii="Times New Roman" w:hAnsi="Times New Roman" w:eastAsia="仿宋_GB2312"/>
          <w:sz w:val="32"/>
          <w:szCs w:val="32"/>
          <w:highlight w:val="none"/>
        </w:rPr>
        <w:t>万元，主要用于以下方面：主要用于以下方面：一般公共服务（类）支出</w:t>
      </w:r>
      <w:r>
        <w:rPr>
          <w:rFonts w:hint="eastAsia" w:ascii="Times New Roman" w:hAnsi="Times New Roman" w:eastAsia="仿宋_GB2312"/>
          <w:sz w:val="32"/>
          <w:szCs w:val="32"/>
          <w:highlight w:val="none"/>
          <w:lang w:val="en-US" w:eastAsia="zh-CN"/>
        </w:rPr>
        <w:t>89.10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0.30</w:t>
      </w:r>
      <w:r>
        <w:rPr>
          <w:rFonts w:hint="eastAsia" w:ascii="Times New Roman" w:hAnsi="Times New Roman" w:eastAsia="仿宋_GB2312"/>
          <w:sz w:val="32"/>
          <w:szCs w:val="32"/>
          <w:highlight w:val="none"/>
        </w:rPr>
        <w:t>%；教育（类）支出</w:t>
      </w:r>
      <w:r>
        <w:rPr>
          <w:rFonts w:hint="eastAsia" w:ascii="Times New Roman" w:hAnsi="Times New Roman" w:eastAsia="仿宋_GB2312"/>
          <w:sz w:val="32"/>
          <w:szCs w:val="32"/>
          <w:highlight w:val="none"/>
          <w:lang w:val="en-US" w:eastAsia="zh-CN"/>
        </w:rPr>
        <w:t>28,895.93</w:t>
      </w:r>
      <w:r>
        <w:rPr>
          <w:rFonts w:hint="eastAsia" w:ascii="Times New Roman" w:hAnsi="Times New Roman" w:eastAsia="仿宋_GB2312"/>
          <w:sz w:val="32"/>
          <w:szCs w:val="32"/>
          <w:highlight w:val="none"/>
        </w:rPr>
        <w:t>万元</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占</w:t>
      </w:r>
      <w:r>
        <w:rPr>
          <w:rFonts w:hint="eastAsia" w:ascii="Times New Roman" w:hAnsi="Times New Roman" w:eastAsia="仿宋_GB2312"/>
          <w:sz w:val="32"/>
          <w:szCs w:val="32"/>
          <w:highlight w:val="none"/>
          <w:lang w:val="en-US" w:eastAsia="zh-CN"/>
        </w:rPr>
        <w:t>98.27%</w:t>
      </w:r>
      <w:r>
        <w:rPr>
          <w:rFonts w:hint="eastAsia" w:ascii="Times New Roman" w:hAnsi="Times New Roman" w:eastAsia="仿宋_GB2312"/>
          <w:sz w:val="32"/>
          <w:szCs w:val="32"/>
          <w:highlight w:val="none"/>
        </w:rPr>
        <w:t>;科学研究（类）支出</w:t>
      </w:r>
      <w:r>
        <w:rPr>
          <w:rFonts w:hint="eastAsia" w:ascii="Times New Roman" w:hAnsi="Times New Roman" w:eastAsia="仿宋_GB2312"/>
          <w:sz w:val="32"/>
          <w:szCs w:val="32"/>
          <w:highlight w:val="none"/>
          <w:lang w:val="en-US" w:eastAsia="zh-CN"/>
        </w:rPr>
        <w:t>399.40</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1.36</w:t>
      </w:r>
      <w:r>
        <w:rPr>
          <w:rFonts w:hint="eastAsia" w:ascii="Times New Roman" w:hAnsi="Times New Roman" w:eastAsia="仿宋_GB2312"/>
          <w:sz w:val="32"/>
          <w:szCs w:val="32"/>
          <w:highlight w:val="none"/>
        </w:rPr>
        <w:t>%；社会保障和就业（类）支出</w:t>
      </w:r>
      <w:r>
        <w:rPr>
          <w:rFonts w:hint="eastAsia" w:ascii="Times New Roman" w:hAnsi="Times New Roman" w:eastAsia="仿宋_GB2312"/>
          <w:sz w:val="32"/>
          <w:szCs w:val="32"/>
          <w:highlight w:val="none"/>
          <w:lang w:val="en-US" w:eastAsia="zh-CN"/>
        </w:rPr>
        <w:t>21.54</w:t>
      </w:r>
      <w:r>
        <w:rPr>
          <w:rFonts w:hint="eastAsia" w:ascii="Times New Roman" w:hAnsi="Times New Roman" w:eastAsia="仿宋_GB2312"/>
          <w:sz w:val="32"/>
          <w:szCs w:val="32"/>
          <w:highlight w:val="none"/>
        </w:rPr>
        <w:t>万元，占</w:t>
      </w:r>
      <w:r>
        <w:rPr>
          <w:rFonts w:hint="eastAsia" w:ascii="Times New Roman" w:hAnsi="Times New Roman" w:eastAsia="仿宋_GB2312"/>
          <w:sz w:val="32"/>
          <w:szCs w:val="32"/>
          <w:highlight w:val="none"/>
          <w:lang w:val="en-US" w:eastAsia="zh-CN"/>
        </w:rPr>
        <w:t>0.07</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eastAsia="zh-CN"/>
        </w:rPr>
        <w:t>。</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val="0"/>
          <w:bCs/>
          <w:sz w:val="32"/>
          <w:szCs w:val="32"/>
          <w:highlight w:val="none"/>
        </w:rPr>
      </w:pPr>
      <w:r>
        <w:rPr>
          <w:rFonts w:hint="eastAsia" w:ascii="楷体" w:hAnsi="楷体" w:eastAsia="楷体" w:cs="楷体"/>
          <w:b w:val="0"/>
          <w:bCs/>
          <w:sz w:val="32"/>
          <w:szCs w:val="32"/>
          <w:highlight w:val="none"/>
        </w:rPr>
        <w:t>（三）一般公共预算财政拨款支出决算具体情况</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年度财政拨款支出年初预算数为</w:t>
      </w:r>
      <w:r>
        <w:rPr>
          <w:rFonts w:hint="eastAsia" w:ascii="Times New Roman" w:hAnsi="Times New Roman" w:eastAsia="仿宋_GB2312"/>
          <w:sz w:val="32"/>
          <w:szCs w:val="32"/>
          <w:highlight w:val="none"/>
          <w:lang w:val="en-US" w:eastAsia="zh-CN"/>
        </w:rPr>
        <w:t>20,641.94</w:t>
      </w:r>
      <w:r>
        <w:rPr>
          <w:rFonts w:hint="eastAsia" w:ascii="Times New Roman" w:hAnsi="Times New Roman" w:eastAsia="仿宋_GB2312"/>
          <w:sz w:val="32"/>
          <w:szCs w:val="32"/>
          <w:highlight w:val="none"/>
        </w:rPr>
        <w:t>万元，支出决算数为</w:t>
      </w:r>
      <w:r>
        <w:rPr>
          <w:rFonts w:hint="eastAsia" w:ascii="Times New Roman" w:hAnsi="Times New Roman" w:eastAsia="仿宋_GB2312"/>
          <w:sz w:val="32"/>
          <w:szCs w:val="32"/>
          <w:highlight w:val="none"/>
          <w:lang w:val="en-US" w:eastAsia="zh-CN"/>
        </w:rPr>
        <w:t>29,405.97</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142.46</w:t>
      </w:r>
      <w:r>
        <w:rPr>
          <w:rFonts w:hint="eastAsia" w:ascii="Times New Roman" w:hAnsi="Times New Roman" w:eastAsia="仿宋_GB2312"/>
          <w:sz w:val="32"/>
          <w:szCs w:val="32"/>
          <w:highlight w:val="none"/>
        </w:rPr>
        <w:t>%，其中：</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1、一般公共服务（类）知识产权事务（款）其他知识产权事务支出（项）。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年初预算为0万元，支出决算为</w:t>
      </w:r>
      <w:r>
        <w:rPr>
          <w:rFonts w:hint="eastAsia" w:ascii="Times New Roman" w:hAnsi="Times New Roman" w:eastAsia="仿宋_GB2312"/>
          <w:sz w:val="32"/>
          <w:szCs w:val="32"/>
          <w:highlight w:val="none"/>
          <w:lang w:val="en-US" w:eastAsia="zh-CN"/>
        </w:rPr>
        <w:t>80</w:t>
      </w:r>
      <w:r>
        <w:rPr>
          <w:rFonts w:hint="eastAsia" w:ascii="Times New Roman" w:hAnsi="Times New Roman" w:eastAsia="仿宋_GB2312"/>
          <w:sz w:val="32"/>
          <w:szCs w:val="32"/>
          <w:highlight w:val="none"/>
        </w:rPr>
        <w:t>万元，决算数大于年初预算数的主要原因是：年中拨款有所增加。</w:t>
      </w:r>
    </w:p>
    <w:p>
      <w:pPr>
        <w:pStyle w:val="14"/>
        <w:keepNext w:val="0"/>
        <w:keepLines w:val="0"/>
        <w:pageBreakBefore w:val="0"/>
        <w:widowControl w:val="0"/>
        <w:numPr>
          <w:ilvl w:val="0"/>
          <w:numId w:val="1"/>
        </w:numPr>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一般公共服务（类）</w:t>
      </w:r>
      <w:r>
        <w:rPr>
          <w:rFonts w:hint="eastAsia" w:ascii="Times New Roman" w:hAnsi="Times New Roman" w:eastAsia="仿宋_GB2312"/>
          <w:sz w:val="32"/>
          <w:szCs w:val="32"/>
          <w:highlight w:val="none"/>
          <w:lang w:val="en-US" w:eastAsia="zh-CN"/>
        </w:rPr>
        <w:t>群众团体事务（款）其他群众团体事务支出（项）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年初预算为0万元，支出决算为</w:t>
      </w:r>
      <w:r>
        <w:rPr>
          <w:rFonts w:hint="eastAsia" w:ascii="Times New Roman" w:hAnsi="Times New Roman" w:eastAsia="仿宋_GB2312"/>
          <w:sz w:val="32"/>
          <w:szCs w:val="32"/>
          <w:highlight w:val="none"/>
          <w:lang w:val="en-US" w:eastAsia="zh-CN"/>
        </w:rPr>
        <w:t>4.1</w:t>
      </w:r>
      <w:r>
        <w:rPr>
          <w:rFonts w:hint="eastAsia" w:ascii="Times New Roman" w:hAnsi="Times New Roman" w:eastAsia="仿宋_GB2312"/>
          <w:sz w:val="32"/>
          <w:szCs w:val="32"/>
          <w:highlight w:val="none"/>
        </w:rPr>
        <w:t>万元，决算数大于年初预算数的主</w:t>
      </w:r>
    </w:p>
    <w:p>
      <w:pPr>
        <w:pStyle w:val="14"/>
        <w:keepNext w:val="0"/>
        <w:keepLines w:val="0"/>
        <w:pageBreakBefore w:val="0"/>
        <w:widowControl w:val="0"/>
        <w:kinsoku/>
        <w:wordWrap/>
        <w:overflowPunct/>
        <w:topLinePunct w:val="0"/>
        <w:bidi w:val="0"/>
        <w:snapToGrid/>
        <w:spacing w:line="600" w:lineRule="exact"/>
        <w:textAlignment w:val="auto"/>
        <w:rPr>
          <w:rFonts w:hint="default"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要原因是：年中拨款有所增加。</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、一般公共服务（类）市场监督管理事务（款）其他市场监督管理事</w:t>
      </w:r>
    </w:p>
    <w:p>
      <w:pPr>
        <w:pStyle w:val="14"/>
        <w:keepNext w:val="0"/>
        <w:keepLines w:val="0"/>
        <w:pageBreakBefore w:val="0"/>
        <w:widowControl w:val="0"/>
        <w:kinsoku/>
        <w:wordWrap/>
        <w:overflowPunct/>
        <w:topLinePunct w:val="0"/>
        <w:bidi w:val="0"/>
        <w:snapToGrid/>
        <w:spacing w:line="600" w:lineRule="exact"/>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务（项）。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年初预算为0万元，支出决算为5万元，决算数大于年初预算数的主</w:t>
      </w:r>
    </w:p>
    <w:p>
      <w:pPr>
        <w:pStyle w:val="14"/>
        <w:keepNext w:val="0"/>
        <w:keepLines w:val="0"/>
        <w:pageBreakBefore w:val="0"/>
        <w:widowControl w:val="0"/>
        <w:kinsoku/>
        <w:wordWrap/>
        <w:overflowPunct/>
        <w:topLinePunct w:val="0"/>
        <w:bidi w:val="0"/>
        <w:snapToGrid/>
        <w:spacing w:line="600" w:lineRule="exact"/>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要原因是：年中拨款有所增加。</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4</w:t>
      </w:r>
      <w:r>
        <w:rPr>
          <w:rFonts w:hint="eastAsia" w:ascii="Times New Roman" w:hAnsi="Times New Roman" w:eastAsia="仿宋_GB2312"/>
          <w:sz w:val="32"/>
          <w:szCs w:val="32"/>
          <w:highlight w:val="none"/>
        </w:rPr>
        <w:t>、教育支出（类）普通教育（款）高等教育（项）。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20,641.94</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28,756.94</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139.31</w:t>
      </w:r>
      <w:r>
        <w:rPr>
          <w:rFonts w:hint="eastAsia" w:ascii="Times New Roman" w:hAnsi="Times New Roman" w:eastAsia="仿宋_GB2312"/>
          <w:sz w:val="32"/>
          <w:szCs w:val="32"/>
          <w:highlight w:val="none"/>
        </w:rPr>
        <w:t>%，决算数大于年初预算数的主要原因是：年中拨款有所增加。</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5</w:t>
      </w:r>
      <w:r>
        <w:rPr>
          <w:rFonts w:hint="eastAsia" w:ascii="Times New Roman" w:hAnsi="Times New Roman" w:eastAsia="仿宋_GB2312"/>
          <w:sz w:val="32"/>
          <w:szCs w:val="32"/>
          <w:highlight w:val="none"/>
        </w:rPr>
        <w:t>、教育支出（类）其他教育支出（款）其他教育支出（项）。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年初预算为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万元，支出决算为</w:t>
      </w:r>
      <w:r>
        <w:rPr>
          <w:rFonts w:hint="eastAsia" w:ascii="Times New Roman" w:hAnsi="Times New Roman" w:eastAsia="仿宋_GB2312"/>
          <w:sz w:val="32"/>
          <w:szCs w:val="32"/>
          <w:highlight w:val="none"/>
          <w:lang w:val="en-US" w:eastAsia="zh-CN"/>
        </w:rPr>
        <w:t>138.99</w:t>
      </w:r>
      <w:r>
        <w:rPr>
          <w:rFonts w:hint="eastAsia" w:ascii="Times New Roman" w:hAnsi="Times New Roman" w:eastAsia="仿宋_GB2312"/>
          <w:sz w:val="32"/>
          <w:szCs w:val="32"/>
          <w:highlight w:val="none"/>
        </w:rPr>
        <w:t>万元，完成年初预算的</w:t>
      </w:r>
      <w:r>
        <w:rPr>
          <w:rFonts w:hint="eastAsia" w:ascii="Times New Roman" w:hAnsi="Times New Roman" w:eastAsia="仿宋_GB2312"/>
          <w:sz w:val="32"/>
          <w:szCs w:val="32"/>
          <w:highlight w:val="none"/>
          <w:lang w:val="en-US" w:eastAsia="zh-CN"/>
        </w:rPr>
        <w:t>100</w:t>
      </w:r>
      <w:r>
        <w:rPr>
          <w:rFonts w:hint="eastAsia" w:ascii="Times New Roman" w:hAnsi="Times New Roman" w:eastAsia="仿宋_GB2312"/>
          <w:sz w:val="32"/>
          <w:szCs w:val="32"/>
          <w:highlight w:val="none"/>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6</w:t>
      </w:r>
      <w:r>
        <w:rPr>
          <w:rFonts w:hint="eastAsia" w:ascii="Times New Roman" w:hAnsi="Times New Roman" w:eastAsia="仿宋_GB2312"/>
          <w:sz w:val="32"/>
          <w:szCs w:val="32"/>
          <w:highlight w:val="none"/>
        </w:rPr>
        <w:t>、科学技术支出（类）基础研究（款）自然科学基金（项）。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年初预算为0万元，支出决算为</w:t>
      </w:r>
      <w:r>
        <w:rPr>
          <w:rFonts w:hint="eastAsia" w:ascii="Times New Roman" w:hAnsi="Times New Roman" w:eastAsia="仿宋_GB2312"/>
          <w:sz w:val="32"/>
          <w:szCs w:val="32"/>
          <w:highlight w:val="none"/>
          <w:lang w:val="en-US" w:eastAsia="zh-CN"/>
        </w:rPr>
        <w:t>110</w:t>
      </w:r>
      <w:r>
        <w:rPr>
          <w:rFonts w:hint="eastAsia" w:ascii="Times New Roman" w:hAnsi="Times New Roman" w:eastAsia="仿宋_GB2312"/>
          <w:sz w:val="32"/>
          <w:szCs w:val="32"/>
          <w:highlight w:val="none"/>
        </w:rPr>
        <w:t>万元，决算数大于年初预算数的</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主要原因是：年中拨款有所增加。</w:t>
      </w:r>
    </w:p>
    <w:p>
      <w:pPr>
        <w:pStyle w:val="14"/>
        <w:keepNext w:val="0"/>
        <w:keepLines w:val="0"/>
        <w:pageBreakBefore w:val="0"/>
        <w:widowControl w:val="0"/>
        <w:numPr>
          <w:ilvl w:val="0"/>
          <w:numId w:val="2"/>
        </w:numPr>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科学技术支出（类）</w:t>
      </w:r>
      <w:r>
        <w:rPr>
          <w:rFonts w:hint="eastAsia" w:ascii="Times New Roman" w:hAnsi="Times New Roman" w:eastAsia="仿宋_GB2312"/>
          <w:sz w:val="32"/>
          <w:szCs w:val="32"/>
          <w:highlight w:val="none"/>
          <w:lang w:val="en-US" w:eastAsia="zh-CN"/>
        </w:rPr>
        <w:t>技术研究与开发（款）科技成果转化与扩散（项）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年初预算为0万元，支出决算为</w:t>
      </w:r>
      <w:r>
        <w:rPr>
          <w:rFonts w:hint="eastAsia" w:ascii="Times New Roman" w:hAnsi="Times New Roman" w:eastAsia="仿宋_GB2312"/>
          <w:sz w:val="32"/>
          <w:szCs w:val="32"/>
          <w:highlight w:val="none"/>
          <w:lang w:val="en-US" w:eastAsia="zh-CN"/>
        </w:rPr>
        <w:t>60</w:t>
      </w:r>
      <w:r>
        <w:rPr>
          <w:rFonts w:hint="eastAsia" w:ascii="Times New Roman" w:hAnsi="Times New Roman" w:eastAsia="仿宋_GB2312"/>
          <w:sz w:val="32"/>
          <w:szCs w:val="32"/>
          <w:highlight w:val="none"/>
        </w:rPr>
        <w:t>万元，决算数大于年初预算数的</w:t>
      </w:r>
    </w:p>
    <w:p>
      <w:pPr>
        <w:pStyle w:val="14"/>
        <w:keepNext w:val="0"/>
        <w:keepLines w:val="0"/>
        <w:pageBreakBefore w:val="0"/>
        <w:widowControl w:val="0"/>
        <w:numPr>
          <w:ilvl w:val="0"/>
          <w:numId w:val="0"/>
        </w:numPr>
        <w:kinsoku/>
        <w:wordWrap/>
        <w:overflowPunct/>
        <w:topLinePunct w:val="0"/>
        <w:bidi w:val="0"/>
        <w:snapToGrid/>
        <w:spacing w:line="600" w:lineRule="exact"/>
        <w:textAlignment w:val="auto"/>
        <w:rPr>
          <w:rFonts w:hint="default"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rPr>
        <w:t>主要原因是：年中拨款有所增加。</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8</w:t>
      </w:r>
      <w:r>
        <w:rPr>
          <w:rFonts w:hint="eastAsia" w:ascii="Times New Roman" w:hAnsi="Times New Roman" w:eastAsia="仿宋_GB2312"/>
          <w:sz w:val="32"/>
          <w:szCs w:val="32"/>
          <w:highlight w:val="none"/>
        </w:rPr>
        <w:t>、科学技术支出（类）科技条件与服务（款）其他科技条件与服务支</w:t>
      </w:r>
    </w:p>
    <w:p>
      <w:pPr>
        <w:pStyle w:val="14"/>
        <w:keepNext w:val="0"/>
        <w:keepLines w:val="0"/>
        <w:pageBreakBefore w:val="0"/>
        <w:widowControl w:val="0"/>
        <w:kinsoku/>
        <w:wordWrap/>
        <w:overflowPunct/>
        <w:topLinePunct w:val="0"/>
        <w:bidi w:val="0"/>
        <w:snapToGrid/>
        <w:spacing w:line="600" w:lineRule="exact"/>
        <w:ind w:firstLine="0" w:firstLineChars="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出（项）。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年初预算为0万元，支出决算为46万元，决算数大于年初预算数的主要原因是：年中拨款有所增加。</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9</w:t>
      </w:r>
      <w:r>
        <w:rPr>
          <w:rFonts w:hint="eastAsia" w:ascii="Times New Roman" w:hAnsi="Times New Roman" w:eastAsia="仿宋_GB2312"/>
          <w:sz w:val="32"/>
          <w:szCs w:val="32"/>
          <w:highlight w:val="none"/>
        </w:rPr>
        <w:t>、科学技术支出（类）社会科学（款）社科基金支出（项）。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年初预算为0万元，支出决算为</w:t>
      </w:r>
      <w:r>
        <w:rPr>
          <w:rFonts w:hint="eastAsia" w:ascii="Times New Roman" w:hAnsi="Times New Roman" w:eastAsia="仿宋_GB2312"/>
          <w:sz w:val="32"/>
          <w:szCs w:val="32"/>
          <w:highlight w:val="none"/>
          <w:lang w:val="en-US" w:eastAsia="zh-CN"/>
        </w:rPr>
        <w:t>17.4</w:t>
      </w:r>
      <w:r>
        <w:rPr>
          <w:rFonts w:hint="eastAsia" w:ascii="Times New Roman" w:hAnsi="Times New Roman" w:eastAsia="仿宋_GB2312"/>
          <w:sz w:val="32"/>
          <w:szCs w:val="32"/>
          <w:highlight w:val="none"/>
        </w:rPr>
        <w:t>万元，决算数大于年初预算数的主要原因是：年中拨款有所增加。</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10</w:t>
      </w:r>
      <w:r>
        <w:rPr>
          <w:rFonts w:hint="eastAsia" w:ascii="Times New Roman" w:hAnsi="Times New Roman" w:eastAsia="仿宋_GB2312"/>
          <w:sz w:val="32"/>
          <w:szCs w:val="32"/>
          <w:highlight w:val="none"/>
        </w:rPr>
        <w:t>、科学技术支出（类）社会科学（款）其他社会科学支出（项）。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年初预算为0万元，支出决算为</w:t>
      </w:r>
      <w:r>
        <w:rPr>
          <w:rFonts w:hint="eastAsia" w:ascii="Times New Roman" w:hAnsi="Times New Roman" w:eastAsia="仿宋_GB2312"/>
          <w:sz w:val="32"/>
          <w:szCs w:val="32"/>
          <w:highlight w:val="none"/>
          <w:lang w:val="en-US" w:eastAsia="zh-CN"/>
        </w:rPr>
        <w:t>4</w:t>
      </w:r>
      <w:r>
        <w:rPr>
          <w:rFonts w:hint="eastAsia" w:ascii="Times New Roman" w:hAnsi="Times New Roman" w:eastAsia="仿宋_GB2312"/>
          <w:sz w:val="32"/>
          <w:szCs w:val="32"/>
          <w:highlight w:val="none"/>
        </w:rPr>
        <w:t>万元，决算数大于年初预算数的主要原因是：年中拨款有所增加。</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lang w:val="en-US" w:eastAsia="zh-CN"/>
        </w:rPr>
        <w:t>11</w:t>
      </w:r>
      <w:r>
        <w:rPr>
          <w:rFonts w:hint="eastAsia" w:ascii="Times New Roman" w:hAnsi="Times New Roman" w:eastAsia="仿宋_GB2312"/>
          <w:sz w:val="32"/>
          <w:szCs w:val="32"/>
          <w:highlight w:val="none"/>
        </w:rPr>
        <w:t>、科学技术支出（类）科学技术普及（款）学术交流活动（项）。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年初预算为0万元，支出决算为3</w:t>
      </w:r>
      <w:r>
        <w:rPr>
          <w:rFonts w:hint="eastAsia" w:ascii="Times New Roman" w:hAnsi="Times New Roman" w:eastAsia="仿宋_GB2312"/>
          <w:sz w:val="32"/>
          <w:szCs w:val="32"/>
          <w:highlight w:val="none"/>
          <w:lang w:val="en-US" w:eastAsia="zh-CN"/>
        </w:rPr>
        <w:t>6</w:t>
      </w:r>
      <w:r>
        <w:rPr>
          <w:rFonts w:hint="eastAsia" w:ascii="Times New Roman" w:hAnsi="Times New Roman" w:eastAsia="仿宋_GB2312"/>
          <w:sz w:val="32"/>
          <w:szCs w:val="32"/>
          <w:highlight w:val="none"/>
        </w:rPr>
        <w:t>万元，决算数大于年初预算数的主要原因是：年中拨款有所增加。</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1</w:t>
      </w:r>
      <w:r>
        <w:rPr>
          <w:rFonts w:hint="eastAsia" w:ascii="Times New Roman" w:hAnsi="Times New Roman" w:eastAsia="仿宋_GB2312"/>
          <w:sz w:val="32"/>
          <w:szCs w:val="32"/>
          <w:highlight w:val="none"/>
          <w:lang w:val="en-US" w:eastAsia="zh-CN"/>
        </w:rPr>
        <w:t>2</w:t>
      </w:r>
      <w:r>
        <w:rPr>
          <w:rFonts w:hint="eastAsia" w:ascii="Times New Roman" w:hAnsi="Times New Roman" w:eastAsia="仿宋_GB2312"/>
          <w:sz w:val="32"/>
          <w:szCs w:val="32"/>
          <w:highlight w:val="none"/>
        </w:rPr>
        <w:t>、科学技术支出（类）科学技术普及（款）其他科学技术普及支出</w:t>
      </w:r>
    </w:p>
    <w:p>
      <w:pPr>
        <w:pStyle w:val="14"/>
        <w:keepNext w:val="0"/>
        <w:keepLines w:val="0"/>
        <w:pageBreakBefore w:val="0"/>
        <w:widowControl w:val="0"/>
        <w:kinsoku/>
        <w:wordWrap/>
        <w:overflowPunct/>
        <w:topLinePunct w:val="0"/>
        <w:bidi w:val="0"/>
        <w:snapToGrid/>
        <w:spacing w:line="600" w:lineRule="exact"/>
        <w:ind w:firstLine="0" w:firstLineChars="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年初预算为0万元，支出决算为</w:t>
      </w:r>
      <w:r>
        <w:rPr>
          <w:rFonts w:hint="eastAsia" w:ascii="Times New Roman" w:hAnsi="Times New Roman" w:eastAsia="仿宋_GB2312"/>
          <w:sz w:val="32"/>
          <w:szCs w:val="32"/>
          <w:highlight w:val="none"/>
          <w:lang w:val="en-US" w:eastAsia="zh-CN"/>
        </w:rPr>
        <w:t>1</w:t>
      </w:r>
      <w:r>
        <w:rPr>
          <w:rFonts w:hint="eastAsia" w:ascii="Times New Roman" w:hAnsi="Times New Roman" w:eastAsia="仿宋_GB2312"/>
          <w:sz w:val="32"/>
          <w:szCs w:val="32"/>
          <w:highlight w:val="none"/>
        </w:rPr>
        <w:t>万元，决算数大于年初预算数的主要原因是：年中拨款有所增加。</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1</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、科学技术支出（类）科技重大项目（款）重点研发计划（项）。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年初预算为0万元，支出决算为</w:t>
      </w:r>
      <w:r>
        <w:rPr>
          <w:rFonts w:hint="eastAsia" w:ascii="Times New Roman" w:hAnsi="Times New Roman" w:eastAsia="仿宋_GB2312"/>
          <w:sz w:val="32"/>
          <w:szCs w:val="32"/>
          <w:highlight w:val="none"/>
          <w:lang w:val="en-US" w:eastAsia="zh-CN"/>
        </w:rPr>
        <w:t>80</w:t>
      </w:r>
      <w:r>
        <w:rPr>
          <w:rFonts w:hint="eastAsia" w:ascii="Times New Roman" w:hAnsi="Times New Roman" w:eastAsia="仿宋_GB2312"/>
          <w:sz w:val="32"/>
          <w:szCs w:val="32"/>
          <w:highlight w:val="none"/>
        </w:rPr>
        <w:t>万元，决算数大于年初预算数的主要原因是：年中拨款有所增加。</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1</w:t>
      </w:r>
      <w:r>
        <w:rPr>
          <w:rFonts w:hint="eastAsia" w:ascii="Times New Roman" w:hAnsi="Times New Roman" w:eastAsia="仿宋_GB2312"/>
          <w:sz w:val="32"/>
          <w:szCs w:val="32"/>
          <w:highlight w:val="none"/>
          <w:lang w:val="en-US" w:eastAsia="zh-CN"/>
        </w:rPr>
        <w:t>4</w:t>
      </w:r>
      <w:r>
        <w:rPr>
          <w:rFonts w:hint="eastAsia" w:ascii="Times New Roman" w:hAnsi="Times New Roman" w:eastAsia="仿宋_GB2312"/>
          <w:sz w:val="32"/>
          <w:szCs w:val="32"/>
          <w:highlight w:val="none"/>
        </w:rPr>
        <w:t>、科学技术支出（类）其他科学技术支出（款）</w:t>
      </w:r>
      <w:r>
        <w:rPr>
          <w:rFonts w:hint="eastAsia" w:ascii="Times New Roman" w:hAnsi="Times New Roman" w:eastAsia="仿宋_GB2312"/>
          <w:sz w:val="32"/>
          <w:szCs w:val="32"/>
          <w:highlight w:val="none"/>
          <w:lang w:val="en-US" w:eastAsia="zh-CN"/>
        </w:rPr>
        <w:t>科技奖励</w:t>
      </w:r>
      <w:r>
        <w:rPr>
          <w:rFonts w:hint="eastAsia" w:ascii="Times New Roman" w:hAnsi="Times New Roman" w:eastAsia="仿宋_GB2312"/>
          <w:sz w:val="32"/>
          <w:szCs w:val="32"/>
          <w:highlight w:val="none"/>
        </w:rPr>
        <w:t>（项）。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年初预算为0万元，支出决算为</w:t>
      </w:r>
      <w:r>
        <w:rPr>
          <w:rFonts w:hint="eastAsia" w:ascii="Times New Roman" w:hAnsi="Times New Roman" w:eastAsia="仿宋_GB2312"/>
          <w:sz w:val="32"/>
          <w:szCs w:val="32"/>
          <w:highlight w:val="none"/>
          <w:lang w:val="en-US" w:eastAsia="zh-CN"/>
        </w:rPr>
        <w:t>35</w:t>
      </w:r>
      <w:r>
        <w:rPr>
          <w:rFonts w:hint="eastAsia" w:ascii="Times New Roman" w:hAnsi="Times New Roman" w:eastAsia="仿宋_GB2312"/>
          <w:sz w:val="32"/>
          <w:szCs w:val="32"/>
          <w:highlight w:val="none"/>
        </w:rPr>
        <w:t>万元，决算数大于年初预算数的主要原因是：年中拨款有所增加。</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1</w:t>
      </w:r>
      <w:r>
        <w:rPr>
          <w:rFonts w:hint="eastAsia" w:ascii="Times New Roman" w:hAnsi="Times New Roman" w:eastAsia="仿宋_GB2312"/>
          <w:sz w:val="32"/>
          <w:szCs w:val="32"/>
          <w:highlight w:val="none"/>
          <w:lang w:val="en-US" w:eastAsia="zh-CN"/>
        </w:rPr>
        <w:t>5</w:t>
      </w:r>
      <w:r>
        <w:rPr>
          <w:rFonts w:hint="eastAsia" w:ascii="Times New Roman" w:hAnsi="Times New Roman" w:eastAsia="仿宋_GB2312"/>
          <w:sz w:val="32"/>
          <w:szCs w:val="32"/>
          <w:highlight w:val="none"/>
        </w:rPr>
        <w:t>、科学技术支出（类）其他科学技术支出（款）其他科学技术支出</w:t>
      </w:r>
    </w:p>
    <w:p>
      <w:pPr>
        <w:pStyle w:val="14"/>
        <w:keepNext w:val="0"/>
        <w:keepLines w:val="0"/>
        <w:pageBreakBefore w:val="0"/>
        <w:widowControl w:val="0"/>
        <w:kinsoku/>
        <w:wordWrap/>
        <w:overflowPunct/>
        <w:topLinePunct w:val="0"/>
        <w:bidi w:val="0"/>
        <w:snapToGrid/>
        <w:spacing w:line="600" w:lineRule="exact"/>
        <w:ind w:firstLine="0" w:firstLineChars="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年初预算为0万元，支出决算为</w:t>
      </w:r>
      <w:r>
        <w:rPr>
          <w:rFonts w:hint="eastAsia" w:ascii="Times New Roman" w:hAnsi="Times New Roman" w:eastAsia="仿宋_GB2312"/>
          <w:sz w:val="32"/>
          <w:szCs w:val="32"/>
          <w:highlight w:val="none"/>
          <w:lang w:val="en-US" w:eastAsia="zh-CN"/>
        </w:rPr>
        <w:t>10</w:t>
      </w:r>
      <w:r>
        <w:rPr>
          <w:rFonts w:hint="eastAsia" w:ascii="Times New Roman" w:hAnsi="Times New Roman" w:eastAsia="仿宋_GB2312"/>
          <w:sz w:val="32"/>
          <w:szCs w:val="32"/>
          <w:highlight w:val="none"/>
        </w:rPr>
        <w:t>万元，决算数大于年初预算数的主要原因是：年中拨款有所增加。</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1</w:t>
      </w:r>
      <w:r>
        <w:rPr>
          <w:rFonts w:hint="eastAsia" w:ascii="Times New Roman" w:hAnsi="Times New Roman" w:eastAsia="仿宋_GB2312"/>
          <w:sz w:val="32"/>
          <w:szCs w:val="32"/>
          <w:highlight w:val="none"/>
          <w:lang w:val="en-US" w:eastAsia="zh-CN"/>
        </w:rPr>
        <w:t>6</w:t>
      </w:r>
      <w:r>
        <w:rPr>
          <w:rFonts w:hint="eastAsia" w:ascii="Times New Roman" w:hAnsi="Times New Roman" w:eastAsia="仿宋_GB2312"/>
          <w:sz w:val="32"/>
          <w:szCs w:val="32"/>
          <w:highlight w:val="none"/>
        </w:rPr>
        <w:t>、社会保障和就业支出（类）就业补助（款）其他就业补助支出（项）。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年初预算为0万元，支出决算为</w:t>
      </w:r>
      <w:r>
        <w:rPr>
          <w:rFonts w:hint="eastAsia" w:ascii="Times New Roman" w:hAnsi="Times New Roman" w:eastAsia="仿宋_GB2312"/>
          <w:sz w:val="32"/>
          <w:szCs w:val="32"/>
          <w:highlight w:val="none"/>
          <w:lang w:val="en-US" w:eastAsia="zh-CN"/>
        </w:rPr>
        <w:t>21.54</w:t>
      </w:r>
      <w:r>
        <w:rPr>
          <w:rFonts w:hint="eastAsia" w:ascii="Times New Roman" w:hAnsi="Times New Roman" w:eastAsia="仿宋_GB2312"/>
          <w:sz w:val="32"/>
          <w:szCs w:val="32"/>
          <w:highlight w:val="none"/>
        </w:rPr>
        <w:t>万元，决算数大于年初预算数的</w:t>
      </w:r>
    </w:p>
    <w:p>
      <w:pPr>
        <w:pStyle w:val="14"/>
        <w:keepNext w:val="0"/>
        <w:keepLines w:val="0"/>
        <w:pageBreakBefore w:val="0"/>
        <w:widowControl w:val="0"/>
        <w:kinsoku/>
        <w:wordWrap/>
        <w:overflowPunct/>
        <w:topLinePunct w:val="0"/>
        <w:bidi w:val="0"/>
        <w:snapToGrid/>
        <w:spacing w:line="600" w:lineRule="exact"/>
        <w:ind w:firstLine="0" w:firstLineChars="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主要原因是：年中拨款有所增加。</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六、一般公共预算财政拨款基本支出决算情况说明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年度财政拨款基本支出</w:t>
      </w:r>
      <w:r>
        <w:rPr>
          <w:rFonts w:hint="eastAsia" w:ascii="Times New Roman" w:hAnsi="Times New Roman" w:eastAsia="仿宋_GB2312"/>
          <w:sz w:val="32"/>
          <w:szCs w:val="32"/>
          <w:highlight w:val="none"/>
          <w:lang w:val="en-US" w:eastAsia="zh-CN"/>
        </w:rPr>
        <w:t>16,582.80</w:t>
      </w:r>
      <w:r>
        <w:rPr>
          <w:rFonts w:hint="eastAsia" w:ascii="Times New Roman" w:hAnsi="Times New Roman" w:eastAsia="仿宋_GB2312"/>
          <w:sz w:val="32"/>
          <w:szCs w:val="32"/>
          <w:highlight w:val="none"/>
        </w:rPr>
        <w:t>万元，其中：</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highlight w:val="none"/>
        </w:rPr>
      </w:pPr>
      <w:r>
        <w:rPr>
          <w:rFonts w:hint="eastAsia" w:ascii="Times New Roman" w:hAnsi="Times New Roman" w:eastAsia="仿宋_GB2312"/>
          <w:b/>
          <w:bCs/>
          <w:sz w:val="32"/>
          <w:szCs w:val="32"/>
          <w:highlight w:val="none"/>
        </w:rPr>
        <w:t>人员经费</w:t>
      </w:r>
      <w:r>
        <w:rPr>
          <w:rFonts w:hint="eastAsia" w:ascii="Times New Roman" w:hAnsi="Times New Roman" w:eastAsia="仿宋_GB2312"/>
          <w:sz w:val="32"/>
          <w:szCs w:val="32"/>
          <w:highlight w:val="none"/>
          <w:lang w:val="en-US" w:eastAsia="zh-CN"/>
        </w:rPr>
        <w:t>15,116.40</w:t>
      </w:r>
      <w:r>
        <w:rPr>
          <w:rFonts w:hint="eastAsia" w:ascii="Times New Roman" w:hAnsi="Times New Roman" w:eastAsia="仿宋_GB2312"/>
          <w:sz w:val="32"/>
          <w:szCs w:val="32"/>
          <w:highlight w:val="none"/>
        </w:rPr>
        <w:t>万元，占基本支出的</w:t>
      </w:r>
      <w:r>
        <w:rPr>
          <w:rFonts w:hint="eastAsia" w:ascii="Times New Roman" w:hAnsi="Times New Roman" w:eastAsia="仿宋_GB2312"/>
          <w:sz w:val="32"/>
          <w:szCs w:val="32"/>
          <w:highlight w:val="none"/>
          <w:lang w:val="en-US" w:eastAsia="zh-CN"/>
        </w:rPr>
        <w:t>91.16</w:t>
      </w:r>
      <w:r>
        <w:rPr>
          <w:rFonts w:hint="eastAsia" w:ascii="Times New Roman" w:hAnsi="Times New Roman" w:eastAsia="仿宋_GB2312"/>
          <w:sz w:val="32"/>
          <w:szCs w:val="32"/>
          <w:highlight w:val="none"/>
        </w:rPr>
        <w:t>%</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主要包括基本工资、绩效工资、机关事业单位基本养老保险缴费、职工基本医疗保险缴费、其他社会保障缴费、住房公积金、其他工资福利支出及离休费、抚恤金、其他对个人和家庭的补助等。</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b/>
          <w:sz w:val="32"/>
          <w:szCs w:val="32"/>
          <w:highlight w:val="none"/>
        </w:rPr>
      </w:pPr>
      <w:r>
        <w:rPr>
          <w:rFonts w:hint="eastAsia" w:ascii="Times New Roman" w:hAnsi="Times New Roman" w:eastAsia="仿宋_GB2312"/>
          <w:b/>
          <w:bCs/>
          <w:sz w:val="32"/>
          <w:szCs w:val="32"/>
          <w:highlight w:val="none"/>
        </w:rPr>
        <w:t>公用经费</w:t>
      </w:r>
      <w:r>
        <w:rPr>
          <w:rFonts w:hint="eastAsia" w:ascii="Times New Roman" w:hAnsi="Times New Roman" w:eastAsia="仿宋_GB2312"/>
          <w:sz w:val="32"/>
          <w:szCs w:val="32"/>
          <w:highlight w:val="none"/>
          <w:lang w:val="en-US" w:eastAsia="zh-CN"/>
        </w:rPr>
        <w:t>1,466.40</w:t>
      </w:r>
      <w:r>
        <w:rPr>
          <w:rFonts w:hint="eastAsia" w:ascii="Times New Roman" w:hAnsi="Times New Roman" w:eastAsia="仿宋_GB2312"/>
          <w:sz w:val="32"/>
          <w:szCs w:val="32"/>
          <w:highlight w:val="none"/>
        </w:rPr>
        <w:t>万元，占基本支出的</w:t>
      </w:r>
      <w:r>
        <w:rPr>
          <w:rFonts w:hint="eastAsia" w:ascii="Times New Roman" w:hAnsi="Times New Roman" w:eastAsia="仿宋_GB2312"/>
          <w:sz w:val="32"/>
          <w:szCs w:val="32"/>
          <w:highlight w:val="none"/>
          <w:lang w:val="en-US" w:eastAsia="zh-CN"/>
        </w:rPr>
        <w:t>8.84</w:t>
      </w:r>
      <w:r>
        <w:rPr>
          <w:rFonts w:hint="eastAsia" w:ascii="Times New Roman" w:hAnsi="Times New Roman" w:eastAsia="仿宋_GB2312"/>
          <w:sz w:val="32"/>
          <w:szCs w:val="32"/>
          <w:highlight w:val="none"/>
        </w:rPr>
        <w:t>%，主要包括办公费、印刷费、手续费、专用材料费、劳务费、税金及附加费用及其他商品和服务支出等。</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highlight w:val="none"/>
        </w:rPr>
      </w:pPr>
      <w:r>
        <w:rPr>
          <w:rFonts w:hint="eastAsia" w:ascii="黑体" w:hAnsi="黑体" w:eastAsia="黑体" w:cs="黑体"/>
          <w:b w:val="0"/>
          <w:bCs/>
          <w:sz w:val="32"/>
          <w:szCs w:val="32"/>
          <w:highlight w:val="none"/>
        </w:rPr>
        <w:t>七、财政拨款三公经费支出决算情况说明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highlight w:val="none"/>
        </w:rPr>
      </w:pPr>
      <w:r>
        <w:rPr>
          <w:rFonts w:hint="eastAsia" w:ascii="楷体" w:hAnsi="楷体" w:eastAsia="楷体" w:cs="楷体"/>
          <w:b/>
          <w:bCs w:val="0"/>
          <w:sz w:val="32"/>
          <w:szCs w:val="32"/>
          <w:highlight w:val="none"/>
        </w:rPr>
        <w:t>（一）“三公”经费财政拨款支出决算总体情况说明</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三公”经费财政拨款支出预算为0万元，支出决算为0万元，其中：因公出国（境）费支出预算为0万元，支出决算为0万元。公务接待费支出预算为0元，支出决算为0万元。公务用车购置费支出预算为0万元，支出决算为0万元。公务用车运行维护费支出预算为0万元，支出决算为0万元。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年“三公”经费决算与上年持平。</w:t>
      </w:r>
    </w:p>
    <w:p>
      <w:pPr>
        <w:pStyle w:val="14"/>
        <w:keepNext w:val="0"/>
        <w:keepLines w:val="0"/>
        <w:pageBreakBefore w:val="0"/>
        <w:widowControl w:val="0"/>
        <w:numPr>
          <w:ilvl w:val="0"/>
          <w:numId w:val="3"/>
        </w:numPr>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highlight w:val="none"/>
        </w:rPr>
      </w:pPr>
      <w:r>
        <w:rPr>
          <w:rFonts w:hint="eastAsia" w:ascii="楷体" w:hAnsi="楷体" w:eastAsia="楷体" w:cs="楷体"/>
          <w:b/>
          <w:bCs w:val="0"/>
          <w:sz w:val="32"/>
          <w:szCs w:val="32"/>
          <w:highlight w:val="none"/>
        </w:rPr>
        <w:t>“三公”经费财政拨款支出决算具体情况说明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年度“三公”经费财政拨款支出决算中，公务接待费支出决算0万元，因公出国（境）费支出决算0万元，公务用车购置费及运行维护费支出决算0万元。其中：</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1、因公出国（境）费支出决算为0万元，全年安排因公出国（境）团组0个，累计0人次，无开支内容。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2、公务接待费支出决算为0万元，全年共接待来访团组0个、来宾0人</w:t>
      </w:r>
    </w:p>
    <w:p>
      <w:pPr>
        <w:pStyle w:val="14"/>
        <w:keepNext w:val="0"/>
        <w:keepLines w:val="0"/>
        <w:pageBreakBefore w:val="0"/>
        <w:widowControl w:val="0"/>
        <w:kinsoku/>
        <w:wordWrap/>
        <w:overflowPunct/>
        <w:topLinePunct w:val="0"/>
        <w:bidi w:val="0"/>
        <w:snapToGrid/>
        <w:spacing w:line="600" w:lineRule="exact"/>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次，未发生接待支出。</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3、公务用车购置费及运行维护费支出决算为 0 万元，其中：公务用</w:t>
      </w:r>
    </w:p>
    <w:p>
      <w:pPr>
        <w:pStyle w:val="14"/>
        <w:keepNext w:val="0"/>
        <w:keepLines w:val="0"/>
        <w:pageBreakBefore w:val="0"/>
        <w:widowControl w:val="0"/>
        <w:kinsoku/>
        <w:wordWrap/>
        <w:overflowPunct/>
        <w:topLinePunct w:val="0"/>
        <w:bidi w:val="0"/>
        <w:snapToGrid/>
        <w:spacing w:line="600" w:lineRule="exact"/>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rPr>
        <w:t>车购置费 0 万元，湖南工程学院更新公务用车 0 辆。公务用车运行维护费0 万元，无支出，截止 20</w:t>
      </w:r>
      <w:r>
        <w:rPr>
          <w:rFonts w:hint="eastAsia" w:ascii="Times New Roman" w:hAnsi="Times New Roman" w:eastAsia="仿宋_GB2312"/>
          <w:sz w:val="32"/>
          <w:szCs w:val="32"/>
          <w:highlight w:val="none"/>
          <w:lang w:val="en-US" w:eastAsia="zh-CN"/>
        </w:rPr>
        <w:t>23</w:t>
      </w:r>
      <w:r>
        <w:rPr>
          <w:rFonts w:hint="eastAsia" w:ascii="Times New Roman" w:hAnsi="Times New Roman" w:eastAsia="仿宋_GB2312"/>
          <w:sz w:val="32"/>
          <w:szCs w:val="32"/>
          <w:highlight w:val="none"/>
        </w:rPr>
        <w:t>年 12 月 31 日，我单位开支财政拨款的公务用车保有量为 0 辆。</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八、政府性基金预算收入支出决算情况</w:t>
      </w:r>
    </w:p>
    <w:p>
      <w:pPr>
        <w:pStyle w:val="14"/>
        <w:keepNext w:val="0"/>
        <w:keepLines w:val="0"/>
        <w:pageBreakBefore w:val="0"/>
        <w:widowControl w:val="0"/>
        <w:kinsoku/>
        <w:wordWrap/>
        <w:overflowPunct/>
        <w:topLinePunct w:val="0"/>
        <w:bidi w:val="0"/>
        <w:snapToGrid/>
        <w:spacing w:line="600" w:lineRule="exact"/>
        <w:textAlignment w:val="auto"/>
        <w:rPr>
          <w:rFonts w:hint="eastAsia" w:ascii="Times New Roman" w:hAnsi="Times New Roman" w:eastAsia="仿宋_GB2312" w:cs="楷体"/>
          <w:b/>
          <w:bCs/>
          <w:i/>
          <w:color w:val="auto"/>
          <w:kern w:val="0"/>
          <w:sz w:val="32"/>
          <w:szCs w:val="32"/>
          <w:highlight w:val="none"/>
          <w:lang w:val="en-US" w:eastAsia="zh-CN" w:bidi="ar-SA"/>
        </w:rPr>
      </w:pPr>
      <w:r>
        <w:rPr>
          <w:rFonts w:hint="eastAsia" w:ascii="Times New Roman" w:hAnsi="Times New Roman" w:eastAsia="仿宋_GB2312"/>
          <w:sz w:val="32"/>
          <w:szCs w:val="32"/>
          <w:highlight w:val="none"/>
        </w:rPr>
        <w:t xml:space="preserve">     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w:t>
      </w:r>
      <w:r>
        <w:rPr>
          <w:rFonts w:hint="eastAsia" w:ascii="Times New Roman" w:hAnsi="Times New Roman" w:eastAsia="仿宋_GB2312"/>
          <w:sz w:val="32"/>
          <w:szCs w:val="32"/>
          <w:highlight w:val="none"/>
          <w:lang w:val="en-US" w:eastAsia="zh-CN"/>
        </w:rPr>
        <w:t>本单位</w:t>
      </w:r>
      <w:r>
        <w:rPr>
          <w:rFonts w:hint="eastAsia" w:ascii="Times New Roman" w:hAnsi="Times New Roman" w:eastAsia="仿宋_GB2312"/>
          <w:sz w:val="32"/>
          <w:szCs w:val="32"/>
          <w:highlight w:val="none"/>
        </w:rPr>
        <w:t>无政府性基金预算收入、支出和结转结余。</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b w:val="0"/>
          <w:bCs/>
          <w:color w:val="000000"/>
          <w:sz w:val="32"/>
          <w:szCs w:val="32"/>
          <w:highlight w:val="none"/>
        </w:rPr>
      </w:pPr>
      <w:r>
        <w:rPr>
          <w:rFonts w:hint="eastAsia" w:ascii="黑体" w:hAnsi="黑体" w:eastAsia="黑体"/>
          <w:b w:val="0"/>
          <w:bCs/>
          <w:color w:val="000000"/>
          <w:sz w:val="32"/>
          <w:szCs w:val="32"/>
          <w:highlight w:val="none"/>
        </w:rPr>
        <w:t>九、关于机关运行经费支出说明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highlight w:val="none"/>
          <w:lang w:eastAsia="zh-CN"/>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w:t>
      </w:r>
      <w:r>
        <w:rPr>
          <w:rFonts w:hint="eastAsia" w:ascii="Times New Roman" w:hAnsi="Times New Roman" w:eastAsia="仿宋_GB2312"/>
          <w:sz w:val="32"/>
          <w:szCs w:val="32"/>
          <w:highlight w:val="none"/>
          <w:lang w:val="en-US" w:eastAsia="zh-CN"/>
        </w:rPr>
        <w:t>本单位</w:t>
      </w:r>
      <w:r>
        <w:rPr>
          <w:rFonts w:hint="eastAsia" w:ascii="Times New Roman" w:hAnsi="Times New Roman" w:eastAsia="仿宋_GB2312"/>
          <w:sz w:val="32"/>
          <w:szCs w:val="32"/>
          <w:highlight w:val="none"/>
        </w:rPr>
        <w:t>无机关运行经费支出</w:t>
      </w:r>
      <w:r>
        <w:rPr>
          <w:rFonts w:hint="eastAsia" w:ascii="Times New Roman" w:hAnsi="Times New Roman" w:eastAsia="仿宋_GB2312"/>
          <w:sz w:val="32"/>
          <w:szCs w:val="32"/>
          <w:highlight w:val="none"/>
          <w:lang w:eastAsia="zh-CN"/>
        </w:rPr>
        <w:t>。</w:t>
      </w:r>
    </w:p>
    <w:p>
      <w:pPr>
        <w:pStyle w:val="14"/>
        <w:keepNext w:val="0"/>
        <w:keepLines w:val="0"/>
        <w:pageBreakBefore w:val="0"/>
        <w:widowControl w:val="0"/>
        <w:numPr>
          <w:ilvl w:val="0"/>
          <w:numId w:val="4"/>
        </w:numPr>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一般性支出情况说明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楷体" w:hAnsi="楷体" w:eastAsia="仿宋_GB2312" w:cs="楷体"/>
          <w:b/>
          <w:bCs/>
          <w:i/>
          <w:color w:val="auto"/>
          <w:kern w:val="0"/>
          <w:sz w:val="32"/>
          <w:szCs w:val="32"/>
          <w:highlight w:val="none"/>
          <w:lang w:val="en-US" w:eastAsia="zh-CN" w:bidi="ar-SA"/>
        </w:rPr>
      </w:pPr>
      <w:r>
        <w:rPr>
          <w:rFonts w:hint="eastAsia" w:ascii="Times New Roman" w:hAnsi="Times New Roman" w:eastAsia="仿宋_GB2312"/>
          <w:sz w:val="32"/>
          <w:szCs w:val="32"/>
          <w:highlight w:val="none"/>
        </w:rPr>
        <w:t>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w:t>
      </w:r>
      <w:r>
        <w:rPr>
          <w:rFonts w:hint="eastAsia" w:ascii="Times New Roman" w:hAnsi="Times New Roman" w:eastAsia="仿宋_GB2312"/>
          <w:sz w:val="32"/>
          <w:szCs w:val="32"/>
          <w:highlight w:val="none"/>
          <w:lang w:val="en-US" w:eastAsia="zh-CN"/>
        </w:rPr>
        <w:t>本单位无</w:t>
      </w:r>
      <w:r>
        <w:rPr>
          <w:rFonts w:hint="eastAsia" w:ascii="Times New Roman" w:hAnsi="Times New Roman" w:eastAsia="仿宋_GB2312"/>
          <w:sz w:val="32"/>
          <w:szCs w:val="32"/>
          <w:highlight w:val="none"/>
        </w:rPr>
        <w:t>财政资金开支</w:t>
      </w:r>
      <w:r>
        <w:rPr>
          <w:rFonts w:hint="eastAsia" w:ascii="Times New Roman" w:hAnsi="Times New Roman" w:eastAsia="仿宋_GB2312"/>
          <w:sz w:val="32"/>
          <w:szCs w:val="32"/>
          <w:highlight w:val="none"/>
          <w:lang w:val="en-US" w:eastAsia="zh-CN"/>
        </w:rPr>
        <w:t>一般性支出。</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十一、关于政府采购支出说明</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sz w:val="32"/>
          <w:szCs w:val="32"/>
          <w:highlight w:val="none"/>
        </w:rPr>
        <w:t>本部门202</w:t>
      </w: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rPr>
        <w:t>年度政府采购支出总额</w:t>
      </w:r>
      <w:r>
        <w:rPr>
          <w:rFonts w:hint="eastAsia" w:ascii="Times New Roman" w:hAnsi="Times New Roman" w:eastAsia="仿宋_GB2312"/>
          <w:sz w:val="32"/>
          <w:szCs w:val="32"/>
          <w:highlight w:val="none"/>
          <w:lang w:val="en-US" w:eastAsia="zh-CN"/>
        </w:rPr>
        <w:t>1,075</w:t>
      </w:r>
      <w:r>
        <w:rPr>
          <w:rFonts w:hint="eastAsia" w:ascii="Times New Roman" w:hAnsi="Times New Roman" w:eastAsia="仿宋_GB2312"/>
          <w:sz w:val="32"/>
          <w:szCs w:val="32"/>
          <w:highlight w:val="none"/>
        </w:rPr>
        <w:t>万元，其中：政府采购货物支出</w:t>
      </w:r>
      <w:r>
        <w:rPr>
          <w:rFonts w:hint="eastAsia" w:ascii="Times New Roman" w:hAnsi="Times New Roman" w:eastAsia="仿宋_GB2312"/>
          <w:sz w:val="32"/>
          <w:szCs w:val="32"/>
          <w:highlight w:val="none"/>
          <w:lang w:val="en-US" w:eastAsia="zh-CN"/>
        </w:rPr>
        <w:t>1,075</w:t>
      </w:r>
      <w:r>
        <w:rPr>
          <w:rFonts w:hint="eastAsia" w:ascii="Times New Roman" w:hAnsi="Times New Roman" w:eastAsia="仿宋_GB2312"/>
          <w:sz w:val="32"/>
          <w:szCs w:val="32"/>
          <w:highlight w:val="none"/>
        </w:rPr>
        <w:t>万元、政府采购工程支出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万元、政府采购服务支出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rPr>
        <w:t>万元。授予中小企业合同金额</w:t>
      </w:r>
      <w:r>
        <w:rPr>
          <w:rFonts w:hint="eastAsia" w:ascii="Times New Roman" w:hAnsi="Times New Roman" w:eastAsia="仿宋_GB2312"/>
          <w:sz w:val="32"/>
          <w:szCs w:val="32"/>
          <w:highlight w:val="none"/>
          <w:lang w:val="en-US" w:eastAsia="zh-CN"/>
        </w:rPr>
        <w:t>1,075</w:t>
      </w:r>
      <w:r>
        <w:rPr>
          <w:rFonts w:hint="eastAsia" w:ascii="Times New Roman" w:hAnsi="Times New Roman" w:eastAsia="仿宋_GB2312"/>
          <w:sz w:val="32"/>
          <w:szCs w:val="32"/>
          <w:highlight w:val="none"/>
        </w:rPr>
        <w:t>万元，占政府采购支出总额的</w:t>
      </w:r>
      <w:r>
        <w:rPr>
          <w:rFonts w:hint="eastAsia" w:ascii="Times New Roman" w:hAnsi="Times New Roman" w:eastAsia="仿宋_GB2312"/>
          <w:sz w:val="32"/>
          <w:szCs w:val="32"/>
          <w:highlight w:val="none"/>
          <w:lang w:val="en-US" w:eastAsia="zh-CN"/>
        </w:rPr>
        <w:t>100</w:t>
      </w:r>
      <w:r>
        <w:rPr>
          <w:rFonts w:hint="eastAsia" w:ascii="Times New Roman" w:hAnsi="Times New Roman" w:eastAsia="仿宋_GB2312"/>
          <w:sz w:val="32"/>
          <w:szCs w:val="32"/>
          <w:highlight w:val="none"/>
        </w:rPr>
        <w:t>%，其中：授予小微企业合同金额</w:t>
      </w:r>
      <w:r>
        <w:rPr>
          <w:rFonts w:hint="eastAsia" w:ascii="Times New Roman" w:hAnsi="Times New Roman" w:eastAsia="仿宋_GB2312"/>
          <w:sz w:val="32"/>
          <w:szCs w:val="32"/>
          <w:highlight w:val="none"/>
          <w:lang w:val="en-US" w:eastAsia="zh-CN"/>
        </w:rPr>
        <w:t>1,075</w:t>
      </w:r>
      <w:r>
        <w:rPr>
          <w:rFonts w:hint="eastAsia" w:ascii="Times New Roman" w:hAnsi="Times New Roman" w:eastAsia="仿宋_GB2312"/>
          <w:sz w:val="32"/>
          <w:szCs w:val="32"/>
          <w:highlight w:val="none"/>
        </w:rPr>
        <w:t>万元，</w:t>
      </w:r>
      <w:r>
        <w:rPr>
          <w:rFonts w:hint="eastAsia" w:ascii="Times New Roman" w:hAnsi="Times New Roman" w:eastAsia="仿宋_GB2312"/>
          <w:color w:val="auto"/>
          <w:sz w:val="32"/>
          <w:szCs w:val="32"/>
          <w:highlight w:val="none"/>
        </w:rPr>
        <w:t>占</w:t>
      </w:r>
      <w:r>
        <w:rPr>
          <w:rFonts w:hint="eastAsia" w:ascii="Times New Roman" w:hAnsi="Times New Roman" w:eastAsia="仿宋_GB2312"/>
          <w:color w:val="auto"/>
          <w:sz w:val="32"/>
          <w:szCs w:val="32"/>
          <w:highlight w:val="none"/>
          <w:lang w:eastAsia="zh-CN"/>
        </w:rPr>
        <w:t>授予中小企业合同金额</w:t>
      </w:r>
      <w:r>
        <w:rPr>
          <w:rFonts w:hint="eastAsia" w:ascii="Times New Roman" w:hAnsi="Times New Roman" w:eastAsia="仿宋_GB2312"/>
          <w:color w:val="auto"/>
          <w:sz w:val="32"/>
          <w:szCs w:val="32"/>
          <w:highlight w:val="none"/>
        </w:rPr>
        <w:t>的</w:t>
      </w:r>
      <w:r>
        <w:rPr>
          <w:rFonts w:hint="eastAsia" w:ascii="Times New Roman" w:hAnsi="Times New Roman" w:eastAsia="仿宋_GB2312"/>
          <w:color w:val="auto"/>
          <w:sz w:val="32"/>
          <w:szCs w:val="32"/>
          <w:highlight w:val="none"/>
          <w:lang w:val="en-US" w:eastAsia="zh-CN"/>
        </w:rPr>
        <w:t>100</w:t>
      </w:r>
      <w:r>
        <w:rPr>
          <w:rFonts w:hint="eastAsia" w:ascii="Times New Roman" w:hAnsi="Times New Roman" w:eastAsia="仿宋_GB2312"/>
          <w:color w:val="auto"/>
          <w:sz w:val="32"/>
          <w:szCs w:val="32"/>
          <w:highlight w:val="none"/>
        </w:rPr>
        <w:t>%。货物采购授予中小企业合同金额占货物支出金额的</w:t>
      </w:r>
      <w:r>
        <w:rPr>
          <w:rFonts w:hint="eastAsia" w:ascii="Times New Roman" w:hAnsi="Times New Roman" w:eastAsia="仿宋_GB2312"/>
          <w:color w:val="auto"/>
          <w:sz w:val="32"/>
          <w:szCs w:val="32"/>
          <w:highlight w:val="none"/>
          <w:lang w:val="en-US" w:eastAsia="zh-CN"/>
        </w:rPr>
        <w:t>100</w:t>
      </w:r>
      <w:r>
        <w:rPr>
          <w:rFonts w:hint="eastAsia" w:ascii="Times New Roman" w:hAnsi="Times New Roman" w:eastAsia="仿宋_GB2312"/>
          <w:color w:val="auto"/>
          <w:sz w:val="32"/>
          <w:szCs w:val="32"/>
          <w:highlight w:val="none"/>
        </w:rPr>
        <w:t>%，工程采购授予中小企业合同金额占工程支出金额的</w:t>
      </w:r>
      <w:r>
        <w:rPr>
          <w:rFonts w:hint="eastAsia" w:ascii="Times New Roman" w:hAnsi="Times New Roman" w:eastAsia="仿宋_GB2312"/>
          <w:color w:val="auto"/>
          <w:sz w:val="32"/>
          <w:szCs w:val="32"/>
          <w:highlight w:val="none"/>
          <w:lang w:val="en-US" w:eastAsia="zh-CN"/>
        </w:rPr>
        <w:t>0</w:t>
      </w:r>
      <w:r>
        <w:rPr>
          <w:rFonts w:hint="eastAsia" w:ascii="Times New Roman" w:hAnsi="Times New Roman" w:eastAsia="仿宋_GB2312"/>
          <w:color w:val="auto"/>
          <w:sz w:val="32"/>
          <w:szCs w:val="32"/>
          <w:highlight w:val="none"/>
        </w:rPr>
        <w:t>%，服务采购授予中小企业合同金额占服务支出金额的</w:t>
      </w:r>
      <w:r>
        <w:rPr>
          <w:rFonts w:hint="eastAsia" w:ascii="Times New Roman" w:hAnsi="Times New Roman" w:eastAsia="仿宋_GB2312"/>
          <w:color w:val="auto"/>
          <w:sz w:val="32"/>
          <w:szCs w:val="32"/>
          <w:highlight w:val="none"/>
          <w:lang w:val="en-US" w:eastAsia="zh-CN"/>
        </w:rPr>
        <w:t>0</w:t>
      </w:r>
      <w:r>
        <w:rPr>
          <w:rFonts w:hint="eastAsia" w:ascii="Times New Roman" w:hAnsi="Times New Roman" w:eastAsia="仿宋_GB2312"/>
          <w:color w:val="auto"/>
          <w:sz w:val="32"/>
          <w:szCs w:val="32"/>
          <w:highlight w:val="none"/>
        </w:rPr>
        <w:t>%。</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十二、关于国有资产占用情况说明</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截至202</w:t>
      </w:r>
      <w:r>
        <w:rPr>
          <w:rFonts w:hint="eastAsia" w:ascii="Times New Roman" w:hAnsi="Times New Roman" w:eastAsia="仿宋_GB2312"/>
          <w:color w:val="auto"/>
          <w:sz w:val="32"/>
          <w:szCs w:val="32"/>
          <w:highlight w:val="none"/>
          <w:lang w:val="en-US" w:eastAsia="zh-CN"/>
        </w:rPr>
        <w:t>3</w:t>
      </w:r>
      <w:r>
        <w:rPr>
          <w:rFonts w:hint="eastAsia" w:ascii="Times New Roman" w:hAnsi="Times New Roman" w:eastAsia="仿宋_GB2312"/>
          <w:color w:val="auto"/>
          <w:sz w:val="32"/>
          <w:szCs w:val="32"/>
          <w:highlight w:val="none"/>
        </w:rPr>
        <w:t>年12月31日，</w:t>
      </w:r>
      <w:r>
        <w:rPr>
          <w:rFonts w:hint="eastAsia" w:ascii="Times New Roman" w:hAnsi="Times New Roman" w:eastAsia="仿宋_GB2312"/>
          <w:color w:val="auto"/>
          <w:sz w:val="32"/>
          <w:szCs w:val="32"/>
          <w:highlight w:val="none"/>
          <w:lang w:val="en-US" w:eastAsia="zh-CN"/>
        </w:rPr>
        <w:t>本</w:t>
      </w:r>
      <w:r>
        <w:rPr>
          <w:rFonts w:hint="eastAsia" w:ascii="Times New Roman" w:hAnsi="Times New Roman" w:eastAsia="仿宋_GB2312"/>
          <w:color w:val="auto"/>
          <w:sz w:val="32"/>
          <w:szCs w:val="32"/>
          <w:highlight w:val="none"/>
          <w:lang w:eastAsia="zh-CN"/>
        </w:rPr>
        <w:t>单位</w:t>
      </w:r>
      <w:r>
        <w:rPr>
          <w:rFonts w:hint="eastAsia" w:ascii="Times New Roman" w:hAnsi="Times New Roman" w:eastAsia="仿宋_GB2312"/>
          <w:color w:val="auto"/>
          <w:sz w:val="32"/>
          <w:szCs w:val="32"/>
          <w:highlight w:val="none"/>
        </w:rPr>
        <w:t>共有车辆</w:t>
      </w:r>
      <w:r>
        <w:rPr>
          <w:rFonts w:hint="eastAsia" w:ascii="Times New Roman" w:hAnsi="Times New Roman" w:eastAsia="仿宋_GB2312"/>
          <w:color w:val="auto"/>
          <w:sz w:val="32"/>
          <w:szCs w:val="32"/>
          <w:highlight w:val="none"/>
          <w:lang w:val="en-US" w:eastAsia="zh-CN"/>
        </w:rPr>
        <w:t>4</w:t>
      </w:r>
      <w:r>
        <w:rPr>
          <w:rFonts w:hint="eastAsia" w:ascii="Times New Roman" w:hAnsi="Times New Roman" w:eastAsia="仿宋_GB2312"/>
          <w:color w:val="auto"/>
          <w:sz w:val="32"/>
          <w:szCs w:val="32"/>
          <w:highlight w:val="none"/>
        </w:rPr>
        <w:t>辆，其中</w:t>
      </w:r>
      <w:r>
        <w:rPr>
          <w:rFonts w:hint="eastAsia" w:ascii="Times New Roman" w:hAnsi="Times New Roman" w:eastAsia="仿宋_GB2312"/>
          <w:color w:val="auto"/>
          <w:sz w:val="32"/>
          <w:szCs w:val="32"/>
          <w:highlight w:val="none"/>
          <w:lang w:eastAsia="zh-CN"/>
        </w:rPr>
        <w:t>，副部（省）级及以上领导用车</w:t>
      </w:r>
      <w:r>
        <w:rPr>
          <w:rFonts w:hint="eastAsia" w:ascii="Times New Roman" w:hAnsi="Times New Roman" w:eastAsia="仿宋_GB2312"/>
          <w:color w:val="auto"/>
          <w:sz w:val="32"/>
          <w:szCs w:val="32"/>
          <w:highlight w:val="none"/>
          <w:lang w:val="en-US" w:eastAsia="zh-CN"/>
        </w:rPr>
        <w:t>0</w:t>
      </w:r>
      <w:r>
        <w:rPr>
          <w:rFonts w:hint="eastAsia" w:ascii="Times New Roman" w:hAnsi="Times New Roman" w:eastAsia="仿宋_GB2312"/>
          <w:color w:val="auto"/>
          <w:sz w:val="32"/>
          <w:szCs w:val="32"/>
          <w:highlight w:val="none"/>
        </w:rPr>
        <w:t>辆</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主要</w:t>
      </w:r>
      <w:r>
        <w:rPr>
          <w:rFonts w:hint="eastAsia" w:ascii="Times New Roman" w:hAnsi="Times New Roman" w:eastAsia="仿宋_GB2312"/>
          <w:color w:val="auto"/>
          <w:sz w:val="32"/>
          <w:szCs w:val="32"/>
          <w:highlight w:val="none"/>
          <w:lang w:eastAsia="zh-CN"/>
        </w:rPr>
        <w:t>负责人</w:t>
      </w:r>
      <w:r>
        <w:rPr>
          <w:rFonts w:hint="eastAsia" w:ascii="Times New Roman" w:hAnsi="Times New Roman" w:eastAsia="仿宋_GB2312"/>
          <w:color w:val="auto"/>
          <w:sz w:val="32"/>
          <w:szCs w:val="32"/>
          <w:highlight w:val="none"/>
        </w:rPr>
        <w:t>用车</w:t>
      </w:r>
      <w:r>
        <w:rPr>
          <w:rFonts w:hint="eastAsia" w:ascii="Times New Roman" w:hAnsi="Times New Roman" w:eastAsia="仿宋_GB2312"/>
          <w:color w:val="auto"/>
          <w:sz w:val="32"/>
          <w:szCs w:val="32"/>
          <w:highlight w:val="none"/>
          <w:lang w:val="en-US" w:eastAsia="zh-CN"/>
        </w:rPr>
        <w:t>0</w:t>
      </w:r>
      <w:r>
        <w:rPr>
          <w:rFonts w:hint="eastAsia" w:ascii="Times New Roman" w:hAnsi="Times New Roman" w:eastAsia="仿宋_GB2312"/>
          <w:color w:val="auto"/>
          <w:sz w:val="32"/>
          <w:szCs w:val="32"/>
          <w:highlight w:val="none"/>
        </w:rPr>
        <w:t>辆</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机要通信用车</w:t>
      </w:r>
      <w:r>
        <w:rPr>
          <w:rFonts w:hint="eastAsia" w:ascii="Times New Roman" w:hAnsi="Times New Roman" w:eastAsia="仿宋_GB2312"/>
          <w:color w:val="auto"/>
          <w:sz w:val="32"/>
          <w:szCs w:val="32"/>
          <w:highlight w:val="none"/>
          <w:lang w:val="en-US" w:eastAsia="zh-CN"/>
        </w:rPr>
        <w:t>0</w:t>
      </w:r>
      <w:r>
        <w:rPr>
          <w:rFonts w:hint="eastAsia" w:ascii="Times New Roman" w:hAnsi="Times New Roman" w:eastAsia="仿宋_GB2312"/>
          <w:color w:val="auto"/>
          <w:sz w:val="32"/>
          <w:szCs w:val="32"/>
          <w:highlight w:val="none"/>
        </w:rPr>
        <w:t>辆、应急保障用车</w:t>
      </w:r>
      <w:r>
        <w:rPr>
          <w:rFonts w:hint="eastAsia" w:ascii="Times New Roman" w:hAnsi="Times New Roman" w:eastAsia="仿宋_GB2312"/>
          <w:color w:val="auto"/>
          <w:sz w:val="32"/>
          <w:szCs w:val="32"/>
          <w:highlight w:val="none"/>
          <w:lang w:val="en-US" w:eastAsia="zh-CN"/>
        </w:rPr>
        <w:t>0</w:t>
      </w:r>
      <w:r>
        <w:rPr>
          <w:rFonts w:hint="eastAsia" w:ascii="Times New Roman" w:hAnsi="Times New Roman" w:eastAsia="仿宋_GB2312"/>
          <w:color w:val="auto"/>
          <w:sz w:val="32"/>
          <w:szCs w:val="32"/>
          <w:highlight w:val="none"/>
        </w:rPr>
        <w:t>辆、执法执勤用车</w:t>
      </w:r>
      <w:r>
        <w:rPr>
          <w:rFonts w:hint="eastAsia" w:ascii="Times New Roman" w:hAnsi="Times New Roman" w:eastAsia="仿宋_GB2312"/>
          <w:color w:val="auto"/>
          <w:sz w:val="32"/>
          <w:szCs w:val="32"/>
          <w:highlight w:val="none"/>
          <w:lang w:val="en-US" w:eastAsia="zh-CN"/>
        </w:rPr>
        <w:t>0</w:t>
      </w:r>
      <w:r>
        <w:rPr>
          <w:rFonts w:hint="eastAsia" w:ascii="Times New Roman" w:hAnsi="Times New Roman" w:eastAsia="仿宋_GB2312"/>
          <w:color w:val="auto"/>
          <w:sz w:val="32"/>
          <w:szCs w:val="32"/>
          <w:highlight w:val="none"/>
        </w:rPr>
        <w:t>辆、特种专业技术用车</w:t>
      </w:r>
      <w:r>
        <w:rPr>
          <w:rFonts w:hint="eastAsia" w:ascii="Times New Roman" w:hAnsi="Times New Roman" w:eastAsia="仿宋_GB2312"/>
          <w:color w:val="auto"/>
          <w:sz w:val="32"/>
          <w:szCs w:val="32"/>
          <w:highlight w:val="none"/>
          <w:lang w:val="en-US" w:eastAsia="zh-CN"/>
        </w:rPr>
        <w:t>0</w:t>
      </w:r>
      <w:r>
        <w:rPr>
          <w:rFonts w:hint="eastAsia" w:ascii="Times New Roman" w:hAnsi="Times New Roman" w:eastAsia="仿宋_GB2312"/>
          <w:color w:val="auto"/>
          <w:sz w:val="32"/>
          <w:szCs w:val="32"/>
          <w:highlight w:val="none"/>
        </w:rPr>
        <w:t>辆、</w:t>
      </w:r>
      <w:r>
        <w:rPr>
          <w:rFonts w:hint="eastAsia" w:ascii="Times New Roman" w:hAnsi="Times New Roman" w:eastAsia="仿宋_GB2312"/>
          <w:color w:val="auto"/>
          <w:sz w:val="32"/>
          <w:szCs w:val="32"/>
          <w:highlight w:val="none"/>
          <w:lang w:eastAsia="zh-CN"/>
        </w:rPr>
        <w:t>离退休干部服务用车</w:t>
      </w:r>
      <w:r>
        <w:rPr>
          <w:rFonts w:hint="eastAsia" w:ascii="Times New Roman" w:hAnsi="Times New Roman" w:eastAsia="仿宋_GB2312"/>
          <w:color w:val="auto"/>
          <w:sz w:val="32"/>
          <w:szCs w:val="32"/>
          <w:highlight w:val="none"/>
          <w:lang w:val="en-US" w:eastAsia="zh-CN"/>
        </w:rPr>
        <w:t>0</w:t>
      </w:r>
      <w:r>
        <w:rPr>
          <w:rFonts w:hint="eastAsia" w:ascii="Times New Roman" w:hAnsi="Times New Roman" w:eastAsia="仿宋_GB2312"/>
          <w:color w:val="auto"/>
          <w:sz w:val="32"/>
          <w:szCs w:val="32"/>
          <w:highlight w:val="none"/>
        </w:rPr>
        <w:t>辆、其他用车</w:t>
      </w:r>
      <w:r>
        <w:rPr>
          <w:rFonts w:hint="eastAsia" w:ascii="Times New Roman" w:hAnsi="Times New Roman" w:eastAsia="仿宋_GB2312"/>
          <w:color w:val="auto"/>
          <w:sz w:val="32"/>
          <w:szCs w:val="32"/>
          <w:highlight w:val="none"/>
          <w:lang w:val="en-US" w:eastAsia="zh-CN"/>
        </w:rPr>
        <w:t>4</w:t>
      </w:r>
      <w:r>
        <w:rPr>
          <w:rFonts w:hint="eastAsia" w:ascii="Times New Roman" w:hAnsi="Times New Roman" w:eastAsia="仿宋_GB2312"/>
          <w:color w:val="auto"/>
          <w:sz w:val="32"/>
          <w:szCs w:val="32"/>
          <w:highlight w:val="none"/>
        </w:rPr>
        <w:t>辆，其他用车主要是用于学校公务用车的轿车、商务车</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单位价值100万元以上设备</w:t>
      </w:r>
      <w:r>
        <w:rPr>
          <w:rFonts w:hint="eastAsia" w:ascii="Times New Roman" w:hAnsi="Times New Roman" w:eastAsia="仿宋_GB2312"/>
          <w:color w:val="auto"/>
          <w:sz w:val="32"/>
          <w:szCs w:val="32"/>
          <w:highlight w:val="none"/>
          <w:lang w:eastAsia="zh-CN"/>
        </w:rPr>
        <w:t>（不含车辆）</w:t>
      </w:r>
      <w:r>
        <w:rPr>
          <w:rFonts w:hint="eastAsia" w:ascii="Times New Roman" w:hAnsi="Times New Roman" w:eastAsia="仿宋_GB2312"/>
          <w:color w:val="auto"/>
          <w:sz w:val="32"/>
          <w:szCs w:val="32"/>
          <w:highlight w:val="none"/>
          <w:lang w:val="en-US" w:eastAsia="zh-CN"/>
        </w:rPr>
        <w:t>0</w:t>
      </w:r>
      <w:r>
        <w:rPr>
          <w:rFonts w:hint="eastAsia" w:ascii="Times New Roman" w:hAnsi="Times New Roman" w:eastAsia="仿宋_GB2312"/>
          <w:color w:val="auto"/>
          <w:sz w:val="32"/>
          <w:szCs w:val="32"/>
          <w:highlight w:val="none"/>
        </w:rPr>
        <w:t>台（套）。</w:t>
      </w:r>
      <w:bookmarkStart w:id="0" w:name="_GoBack"/>
      <w:bookmarkEnd w:id="0"/>
    </w:p>
    <w:p>
      <w:pPr>
        <w:pStyle w:val="14"/>
        <w:keepNext w:val="0"/>
        <w:keepLines w:val="0"/>
        <w:pageBreakBefore w:val="0"/>
        <w:widowControl w:val="0"/>
        <w:numPr>
          <w:ilvl w:val="0"/>
          <w:numId w:val="5"/>
        </w:numPr>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关于</w:t>
      </w:r>
      <w:r>
        <w:rPr>
          <w:rFonts w:hint="eastAsia" w:ascii="Times New Roman" w:hAnsi="Times New Roman" w:eastAsia="仿宋_GB2312"/>
          <w:color w:val="auto"/>
          <w:sz w:val="32"/>
          <w:szCs w:val="32"/>
          <w:highlight w:val="none"/>
        </w:rPr>
        <w:t>202</w:t>
      </w:r>
      <w:r>
        <w:rPr>
          <w:rFonts w:hint="eastAsia" w:ascii="Times New Roman" w:hAnsi="Times New Roman" w:eastAsia="仿宋_GB2312"/>
          <w:color w:val="auto"/>
          <w:sz w:val="32"/>
          <w:szCs w:val="32"/>
          <w:highlight w:val="none"/>
          <w:lang w:val="en-US" w:eastAsia="zh-CN"/>
        </w:rPr>
        <w:t>3</w:t>
      </w:r>
      <w:r>
        <w:rPr>
          <w:rFonts w:hint="eastAsia" w:ascii="黑体" w:hAnsi="黑体" w:eastAsia="黑体" w:cs="黑体"/>
          <w:b w:val="0"/>
          <w:bCs/>
          <w:color w:val="auto"/>
          <w:sz w:val="32"/>
          <w:szCs w:val="32"/>
          <w:highlight w:val="none"/>
        </w:rPr>
        <w:t>年度</w:t>
      </w:r>
      <w:r>
        <w:rPr>
          <w:rFonts w:hint="eastAsia" w:hAnsi="黑体" w:cs="黑体"/>
          <w:b w:val="0"/>
          <w:bCs/>
          <w:color w:val="auto"/>
          <w:sz w:val="32"/>
          <w:szCs w:val="32"/>
          <w:highlight w:val="none"/>
          <w:lang w:eastAsia="zh-CN"/>
        </w:rPr>
        <w:t>预算</w:t>
      </w:r>
      <w:r>
        <w:rPr>
          <w:rFonts w:hint="eastAsia" w:ascii="黑体" w:hAnsi="黑体" w:eastAsia="黑体" w:cs="黑体"/>
          <w:b w:val="0"/>
          <w:bCs/>
          <w:color w:val="auto"/>
          <w:sz w:val="32"/>
          <w:szCs w:val="32"/>
          <w:highlight w:val="none"/>
        </w:rPr>
        <w:t>绩效情况的说明</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rPr>
        <w:t>详见《202</w:t>
      </w:r>
      <w:r>
        <w:rPr>
          <w:rFonts w:hint="eastAsia" w:ascii="Times New Roman" w:hAnsi="Times New Roman" w:eastAsia="仿宋_GB2312"/>
          <w:color w:val="auto"/>
          <w:sz w:val="32"/>
          <w:szCs w:val="32"/>
          <w:highlight w:val="none"/>
          <w:lang w:val="en-US" w:eastAsia="zh-CN"/>
        </w:rPr>
        <w:t>3</w:t>
      </w:r>
      <w:r>
        <w:rPr>
          <w:rFonts w:hint="eastAsia" w:ascii="Times New Roman" w:hAnsi="Times New Roman" w:eastAsia="仿宋_GB2312"/>
          <w:color w:val="auto"/>
          <w:sz w:val="32"/>
          <w:szCs w:val="32"/>
          <w:highlight w:val="none"/>
        </w:rPr>
        <w:t>年度湖南工程学院整体支出绩效自评报告</w:t>
      </w:r>
      <w:r>
        <w:rPr>
          <w:rFonts w:hint="eastAsia" w:ascii="Times New Roman" w:hAnsi="Times New Roman" w:eastAsia="仿宋_GB2312"/>
          <w:color w:val="auto"/>
          <w:sz w:val="32"/>
          <w:szCs w:val="32"/>
          <w:highlight w:val="none"/>
          <w:lang w:eastAsia="zh-CN"/>
        </w:rPr>
        <w:t>》。</w:t>
      </w:r>
    </w:p>
    <w:p>
      <w:pPr>
        <w:pStyle w:val="14"/>
        <w:jc w:val="both"/>
        <w:rPr>
          <w:sz w:val="72"/>
          <w:szCs w:val="72"/>
          <w:highlight w:val="none"/>
        </w:rPr>
      </w:pPr>
    </w:p>
    <w:p>
      <w:pPr>
        <w:pStyle w:val="14"/>
        <w:jc w:val="both"/>
        <w:rPr>
          <w:rFonts w:hint="eastAsia" w:eastAsia="黑体"/>
          <w:sz w:val="72"/>
          <w:szCs w:val="72"/>
          <w:highlight w:val="none"/>
          <w:lang w:eastAsia="zh-CN"/>
        </w:rPr>
      </w:pPr>
    </w:p>
    <w:p>
      <w:pPr>
        <w:pStyle w:val="14"/>
        <w:jc w:val="both"/>
        <w:rPr>
          <w:rFonts w:hint="eastAsia" w:eastAsia="黑体"/>
          <w:sz w:val="72"/>
          <w:szCs w:val="72"/>
          <w:highlight w:val="none"/>
          <w:lang w:eastAsia="zh-CN"/>
        </w:rPr>
      </w:pPr>
    </w:p>
    <w:p>
      <w:pPr>
        <w:pStyle w:val="14"/>
        <w:jc w:val="both"/>
        <w:rPr>
          <w:rFonts w:hint="eastAsia" w:eastAsia="黑体"/>
          <w:sz w:val="72"/>
          <w:szCs w:val="72"/>
          <w:highlight w:val="none"/>
          <w:lang w:eastAsia="zh-CN"/>
        </w:rPr>
      </w:pPr>
    </w:p>
    <w:p>
      <w:pPr>
        <w:pStyle w:val="14"/>
        <w:jc w:val="both"/>
        <w:rPr>
          <w:rFonts w:hint="eastAsia" w:eastAsia="黑体"/>
          <w:sz w:val="72"/>
          <w:szCs w:val="72"/>
          <w:highlight w:val="none"/>
          <w:lang w:eastAsia="zh-CN"/>
        </w:rPr>
      </w:pPr>
    </w:p>
    <w:p>
      <w:pPr>
        <w:pStyle w:val="14"/>
        <w:jc w:val="center"/>
        <w:rPr>
          <w:sz w:val="72"/>
          <w:szCs w:val="72"/>
          <w:highlight w:val="none"/>
        </w:rPr>
      </w:pPr>
    </w:p>
    <w:p>
      <w:pPr>
        <w:pStyle w:val="14"/>
        <w:jc w:val="center"/>
        <w:rPr>
          <w:sz w:val="72"/>
          <w:szCs w:val="72"/>
          <w:highlight w:val="none"/>
        </w:rPr>
      </w:pPr>
    </w:p>
    <w:p>
      <w:pPr>
        <w:pStyle w:val="14"/>
        <w:jc w:val="both"/>
        <w:rPr>
          <w:rFonts w:hint="eastAsia" w:ascii="方正小标宋_GBK" w:hAnsi="方正小标宋_GBK" w:eastAsia="方正小标宋_GBK" w:cs="方正小标宋_GBK"/>
          <w:sz w:val="72"/>
          <w:szCs w:val="72"/>
          <w:highlight w:val="none"/>
        </w:rPr>
      </w:pPr>
    </w:p>
    <w:p>
      <w:pPr>
        <w:pStyle w:val="14"/>
        <w:jc w:val="center"/>
        <w:rPr>
          <w:rFonts w:hint="eastAsia" w:ascii="方正小标宋_GBK" w:hAnsi="方正小标宋_GBK" w:eastAsia="方正小标宋_GBK" w:cs="方正小标宋_GBK"/>
          <w:sz w:val="72"/>
          <w:szCs w:val="72"/>
          <w:highlight w:val="none"/>
        </w:rPr>
      </w:pPr>
    </w:p>
    <w:p>
      <w:pPr>
        <w:pStyle w:val="14"/>
        <w:jc w:val="center"/>
        <w:rPr>
          <w:rFonts w:hint="eastAsia" w:ascii="方正小标宋_GBK" w:hAnsi="方正小标宋_GBK" w:eastAsia="方正小标宋_GBK" w:cs="方正小标宋_GBK"/>
          <w:sz w:val="72"/>
          <w:szCs w:val="72"/>
          <w:highlight w:val="none"/>
        </w:rPr>
      </w:pPr>
    </w:p>
    <w:p>
      <w:pPr>
        <w:pStyle w:val="14"/>
        <w:jc w:val="center"/>
        <w:rPr>
          <w:rFonts w:hint="eastAsia" w:ascii="方正小标宋_GBK" w:hAnsi="方正小标宋_GBK" w:eastAsia="方正小标宋_GBK" w:cs="方正小标宋_GBK"/>
          <w:sz w:val="72"/>
          <w:szCs w:val="72"/>
          <w:highlight w:val="none"/>
        </w:rPr>
      </w:pPr>
    </w:p>
    <w:p>
      <w:pPr>
        <w:pStyle w:val="14"/>
        <w:jc w:val="center"/>
        <w:rPr>
          <w:rFonts w:hint="eastAsia" w:ascii="方正小标宋_GBK" w:hAnsi="方正小标宋_GBK" w:eastAsia="方正小标宋_GBK" w:cs="方正小标宋_GBK"/>
          <w:sz w:val="72"/>
          <w:szCs w:val="72"/>
          <w:highlight w:val="none"/>
        </w:rPr>
      </w:pPr>
    </w:p>
    <w:p>
      <w:pPr>
        <w:pStyle w:val="14"/>
        <w:jc w:val="center"/>
        <w:rPr>
          <w:rFonts w:hint="eastAsia" w:ascii="方正小标宋_GBK" w:hAnsi="方正小标宋_GBK" w:eastAsia="方正小标宋_GBK" w:cs="方正小标宋_GBK"/>
          <w:sz w:val="72"/>
          <w:szCs w:val="72"/>
          <w:highlight w:val="none"/>
        </w:rPr>
      </w:pPr>
    </w:p>
    <w:p>
      <w:pPr>
        <w:pStyle w:val="14"/>
        <w:jc w:val="center"/>
        <w:rPr>
          <w:rFonts w:hint="eastAsia" w:ascii="方正小标宋_GBK" w:hAnsi="方正小标宋_GBK" w:eastAsia="方正小标宋_GBK" w:cs="方正小标宋_GBK"/>
          <w:sz w:val="72"/>
          <w:szCs w:val="72"/>
          <w:highlight w:val="none"/>
        </w:rPr>
      </w:pPr>
      <w:r>
        <w:rPr>
          <w:rFonts w:hint="eastAsia" w:ascii="方正小标宋_GBK" w:hAnsi="方正小标宋_GBK" w:eastAsia="方正小标宋_GBK" w:cs="方正小标宋_GBK"/>
          <w:sz w:val="72"/>
          <w:szCs w:val="72"/>
          <w:highlight w:val="none"/>
        </w:rPr>
        <w:t>第四部分</w:t>
      </w:r>
    </w:p>
    <w:p>
      <w:pPr>
        <w:jc w:val="center"/>
        <w:rPr>
          <w:rFonts w:hint="eastAsia" w:ascii="方正小标宋_GBK" w:hAnsi="方正小标宋_GBK" w:eastAsia="方正小标宋_GBK" w:cs="方正小标宋_GBK"/>
          <w:color w:val="000000"/>
          <w:kern w:val="0"/>
          <w:sz w:val="70"/>
          <w:szCs w:val="70"/>
          <w:highlight w:val="none"/>
        </w:rPr>
      </w:pPr>
    </w:p>
    <w:p>
      <w:pPr>
        <w:jc w:val="center"/>
        <w:rPr>
          <w:rFonts w:hint="eastAsia" w:ascii="方正小标宋_GBK" w:hAnsi="方正小标宋_GBK" w:eastAsia="方正小标宋_GBK" w:cs="方正小标宋_GBK"/>
          <w:color w:val="000000"/>
          <w:kern w:val="0"/>
          <w:sz w:val="70"/>
          <w:szCs w:val="70"/>
          <w:highlight w:val="none"/>
        </w:rPr>
      </w:pPr>
      <w:r>
        <w:rPr>
          <w:rFonts w:hint="eastAsia" w:ascii="方正小标宋_GBK" w:hAnsi="方正小标宋_GBK" w:eastAsia="方正小标宋_GBK" w:cs="方正小标宋_GBK"/>
          <w:color w:val="000000"/>
          <w:kern w:val="0"/>
          <w:sz w:val="70"/>
          <w:szCs w:val="70"/>
          <w:highlight w:val="none"/>
        </w:rPr>
        <w:t>名词解释</w:t>
      </w:r>
    </w:p>
    <w:p>
      <w:pPr>
        <w:widowControl/>
        <w:jc w:val="left"/>
        <w:rPr>
          <w:rFonts w:cs="黑体" w:asciiTheme="minorEastAsia" w:hAnsiTheme="minorEastAsia"/>
          <w:color w:val="000000"/>
          <w:kern w:val="0"/>
          <w:sz w:val="32"/>
          <w:szCs w:val="32"/>
          <w:highlight w:val="none"/>
        </w:rPr>
      </w:pPr>
      <w:r>
        <w:rPr>
          <w:rFonts w:hint="eastAsia" w:ascii="方正小标宋_GBK" w:hAnsi="方正小标宋_GBK" w:eastAsia="方正小标宋_GBK" w:cs="方正小标宋_GBK"/>
          <w:color w:val="000000"/>
          <w:kern w:val="0"/>
          <w:sz w:val="70"/>
          <w:szCs w:val="70"/>
          <w:highlight w:val="none"/>
        </w:rPr>
        <w:br w:type="page"/>
      </w:r>
    </w:p>
    <w:p>
      <w:pPr>
        <w:ind w:firstLine="640" w:firstLineChars="200"/>
        <w:jc w:val="left"/>
        <w:rPr>
          <w:rFonts w:hint="eastAsia" w:ascii="Times New Roman" w:hAnsi="Times New Roman" w:eastAsia="仿宋_GB2312" w:cs="黑体"/>
          <w:color w:val="auto"/>
          <w:kern w:val="0"/>
          <w:sz w:val="32"/>
          <w:szCs w:val="32"/>
          <w:highlight w:val="none"/>
          <w:lang w:val="en-US" w:eastAsia="zh-CN" w:bidi="ar-SA"/>
        </w:rPr>
      </w:pPr>
      <w:r>
        <w:rPr>
          <w:rFonts w:hint="eastAsia" w:ascii="Times New Roman" w:hAnsi="Times New Roman" w:eastAsia="仿宋_GB2312" w:cs="黑体"/>
          <w:color w:val="auto"/>
          <w:kern w:val="0"/>
          <w:sz w:val="32"/>
          <w:szCs w:val="32"/>
          <w:highlight w:val="none"/>
          <w:lang w:val="en-US" w:eastAsia="zh-CN" w:bidi="ar-SA"/>
        </w:rPr>
        <w:t>部门决算，是指行政事业单位在年度终了，根据财政部门决算编审要求，在日常会计核算的基础上编制的、综合反映本单位预算执行结果和财务状况的总结性文件。</w:t>
      </w:r>
    </w:p>
    <w:p>
      <w:pPr>
        <w:ind w:firstLine="640" w:firstLineChars="200"/>
        <w:jc w:val="left"/>
        <w:rPr>
          <w:rFonts w:hint="eastAsia" w:ascii="Times New Roman" w:hAnsi="Times New Roman" w:eastAsia="仿宋_GB2312" w:cs="黑体"/>
          <w:color w:val="auto"/>
          <w:kern w:val="0"/>
          <w:sz w:val="32"/>
          <w:szCs w:val="32"/>
          <w:highlight w:val="none"/>
          <w:lang w:val="en-US" w:eastAsia="zh-CN" w:bidi="ar-SA"/>
        </w:rPr>
      </w:pPr>
      <w:r>
        <w:rPr>
          <w:rFonts w:hint="eastAsia" w:ascii="Times New Roman" w:hAnsi="Times New Roman" w:eastAsia="仿宋_GB2312" w:cs="黑体"/>
          <w:color w:val="auto"/>
          <w:kern w:val="0"/>
          <w:sz w:val="32"/>
          <w:szCs w:val="32"/>
          <w:highlight w:val="none"/>
          <w:lang w:val="en-US" w:eastAsia="zh-CN" w:bidi="ar-SA"/>
        </w:rPr>
        <w:t>一、收入科目说明</w:t>
      </w:r>
    </w:p>
    <w:p>
      <w:pPr>
        <w:ind w:firstLine="640" w:firstLineChars="200"/>
        <w:jc w:val="left"/>
        <w:rPr>
          <w:rFonts w:hint="eastAsia" w:ascii="Times New Roman" w:hAnsi="Times New Roman" w:eastAsia="仿宋_GB2312" w:cs="黑体"/>
          <w:color w:val="auto"/>
          <w:kern w:val="0"/>
          <w:sz w:val="32"/>
          <w:szCs w:val="32"/>
          <w:highlight w:val="none"/>
          <w:lang w:val="en-US" w:eastAsia="zh-CN" w:bidi="ar-SA"/>
        </w:rPr>
      </w:pPr>
      <w:r>
        <w:rPr>
          <w:rFonts w:hint="eastAsia" w:ascii="Times New Roman" w:hAnsi="Times New Roman" w:eastAsia="仿宋_GB2312" w:cs="黑体"/>
          <w:color w:val="auto"/>
          <w:kern w:val="0"/>
          <w:sz w:val="32"/>
          <w:szCs w:val="32"/>
          <w:highlight w:val="none"/>
          <w:lang w:val="en-US" w:eastAsia="zh-CN" w:bidi="ar-SA"/>
        </w:rPr>
        <w:t>1.财政拨款收入:指高等学校当年从同级财政部门取得的各类财政拨</w:t>
      </w:r>
    </w:p>
    <w:p>
      <w:pPr>
        <w:jc w:val="left"/>
        <w:rPr>
          <w:rFonts w:hint="eastAsia" w:ascii="Times New Roman" w:hAnsi="Times New Roman" w:eastAsia="仿宋_GB2312" w:cs="黑体"/>
          <w:color w:val="auto"/>
          <w:kern w:val="0"/>
          <w:sz w:val="32"/>
          <w:szCs w:val="32"/>
          <w:highlight w:val="none"/>
          <w:lang w:val="en-US" w:eastAsia="zh-CN" w:bidi="ar-SA"/>
        </w:rPr>
      </w:pPr>
      <w:r>
        <w:rPr>
          <w:rFonts w:hint="eastAsia" w:ascii="Times New Roman" w:hAnsi="Times New Roman" w:eastAsia="仿宋_GB2312" w:cs="黑体"/>
          <w:color w:val="auto"/>
          <w:kern w:val="0"/>
          <w:sz w:val="32"/>
          <w:szCs w:val="32"/>
          <w:highlight w:val="none"/>
          <w:lang w:val="en-US" w:eastAsia="zh-CN" w:bidi="ar-SA"/>
        </w:rPr>
        <w:t>款。包括财政教育拨款、财政科研拨款和财政其他拨款。</w:t>
      </w:r>
    </w:p>
    <w:p>
      <w:pPr>
        <w:ind w:firstLine="640" w:firstLineChars="200"/>
        <w:jc w:val="left"/>
        <w:rPr>
          <w:rFonts w:hint="eastAsia" w:ascii="Times New Roman" w:hAnsi="Times New Roman" w:eastAsia="仿宋_GB2312" w:cs="黑体"/>
          <w:color w:val="auto"/>
          <w:kern w:val="0"/>
          <w:sz w:val="32"/>
          <w:szCs w:val="32"/>
          <w:highlight w:val="none"/>
          <w:lang w:val="en-US" w:eastAsia="zh-CN" w:bidi="ar-SA"/>
        </w:rPr>
      </w:pPr>
      <w:r>
        <w:rPr>
          <w:rFonts w:hint="eastAsia" w:ascii="Times New Roman" w:hAnsi="Times New Roman" w:eastAsia="仿宋_GB2312" w:cs="黑体"/>
          <w:color w:val="auto"/>
          <w:kern w:val="0"/>
          <w:sz w:val="32"/>
          <w:szCs w:val="32"/>
          <w:highlight w:val="none"/>
          <w:lang w:val="en-US" w:eastAsia="zh-CN" w:bidi="ar-SA"/>
        </w:rPr>
        <w:t>2.上级补助收入:指高等学校从主管部门和上级单位取得的非财政补助</w:t>
      </w:r>
    </w:p>
    <w:p>
      <w:pPr>
        <w:jc w:val="left"/>
        <w:rPr>
          <w:rFonts w:hint="eastAsia" w:ascii="Times New Roman" w:hAnsi="Times New Roman" w:eastAsia="仿宋_GB2312" w:cs="黑体"/>
          <w:color w:val="auto"/>
          <w:kern w:val="0"/>
          <w:sz w:val="32"/>
          <w:szCs w:val="32"/>
          <w:highlight w:val="none"/>
          <w:lang w:val="en-US" w:eastAsia="zh-CN" w:bidi="ar-SA"/>
        </w:rPr>
      </w:pPr>
      <w:r>
        <w:rPr>
          <w:rFonts w:hint="eastAsia" w:ascii="Times New Roman" w:hAnsi="Times New Roman" w:eastAsia="仿宋_GB2312" w:cs="黑体"/>
          <w:color w:val="auto"/>
          <w:kern w:val="0"/>
          <w:sz w:val="32"/>
          <w:szCs w:val="32"/>
          <w:highlight w:val="none"/>
          <w:lang w:val="en-US" w:eastAsia="zh-CN" w:bidi="ar-SA"/>
        </w:rPr>
        <w:t>收入。</w:t>
      </w:r>
    </w:p>
    <w:p>
      <w:pPr>
        <w:ind w:firstLine="640" w:firstLineChars="200"/>
        <w:jc w:val="left"/>
        <w:rPr>
          <w:rFonts w:hint="eastAsia" w:ascii="Times New Roman" w:hAnsi="Times New Roman" w:eastAsia="仿宋_GB2312" w:cs="黑体"/>
          <w:color w:val="auto"/>
          <w:kern w:val="0"/>
          <w:sz w:val="32"/>
          <w:szCs w:val="32"/>
          <w:highlight w:val="none"/>
          <w:lang w:val="en-US" w:eastAsia="zh-CN" w:bidi="ar-SA"/>
        </w:rPr>
      </w:pPr>
      <w:r>
        <w:rPr>
          <w:rFonts w:hint="eastAsia" w:ascii="Times New Roman" w:hAnsi="Times New Roman" w:eastAsia="仿宋_GB2312" w:cs="黑体"/>
          <w:color w:val="auto"/>
          <w:kern w:val="0"/>
          <w:sz w:val="32"/>
          <w:szCs w:val="32"/>
          <w:highlight w:val="none"/>
          <w:lang w:val="en-US" w:eastAsia="zh-CN" w:bidi="ar-SA"/>
        </w:rPr>
        <w:t>3.事业收入:指高等学校开展教学、科研及其辅助活动取得的收入。包</w:t>
      </w:r>
    </w:p>
    <w:p>
      <w:pPr>
        <w:jc w:val="left"/>
        <w:rPr>
          <w:rFonts w:hint="eastAsia" w:ascii="Times New Roman" w:hAnsi="Times New Roman" w:eastAsia="仿宋_GB2312" w:cs="黑体"/>
          <w:color w:val="auto"/>
          <w:kern w:val="0"/>
          <w:sz w:val="32"/>
          <w:szCs w:val="32"/>
          <w:highlight w:val="none"/>
          <w:lang w:val="en-US" w:eastAsia="zh-CN" w:bidi="ar-SA"/>
        </w:rPr>
      </w:pPr>
      <w:r>
        <w:rPr>
          <w:rFonts w:hint="eastAsia" w:ascii="Times New Roman" w:hAnsi="Times New Roman" w:eastAsia="仿宋_GB2312" w:cs="黑体"/>
          <w:color w:val="auto"/>
          <w:kern w:val="0"/>
          <w:sz w:val="32"/>
          <w:szCs w:val="32"/>
          <w:highlight w:val="none"/>
          <w:lang w:val="en-US" w:eastAsia="zh-CN" w:bidi="ar-SA"/>
        </w:rPr>
        <w:t>括教育事业收入和科研事业收入。教育事业收入主要包括普通高中学费普</w:t>
      </w:r>
    </w:p>
    <w:p>
      <w:pPr>
        <w:jc w:val="left"/>
        <w:rPr>
          <w:rFonts w:hint="eastAsia" w:ascii="Times New Roman" w:hAnsi="Times New Roman" w:eastAsia="仿宋_GB2312" w:cs="黑体"/>
          <w:color w:val="auto"/>
          <w:kern w:val="0"/>
          <w:sz w:val="32"/>
          <w:szCs w:val="32"/>
          <w:highlight w:val="none"/>
          <w:lang w:val="en-US" w:eastAsia="zh-CN" w:bidi="ar-SA"/>
        </w:rPr>
      </w:pPr>
      <w:r>
        <w:rPr>
          <w:rFonts w:hint="eastAsia" w:ascii="Times New Roman" w:hAnsi="Times New Roman" w:eastAsia="仿宋_GB2312" w:cs="黑体"/>
          <w:color w:val="auto"/>
          <w:kern w:val="0"/>
          <w:sz w:val="32"/>
          <w:szCs w:val="32"/>
          <w:highlight w:val="none"/>
          <w:lang w:val="en-US" w:eastAsia="zh-CN" w:bidi="ar-SA"/>
        </w:rPr>
        <w:t>通高中住宿费，高等学校学费，高等学校住宿费，高等学校委托培养费，短训班培训费和考试考务费;科研事业收入主要包括除教育部财政科研拨款以外的中央和地方科研经费拨款，以及通过承接科研项目、开展科研协作、转化科技成果、进行科技咨询等取得的收入。</w:t>
      </w:r>
    </w:p>
    <w:p>
      <w:pPr>
        <w:ind w:firstLine="640" w:firstLineChars="200"/>
        <w:jc w:val="left"/>
        <w:rPr>
          <w:rFonts w:hint="eastAsia" w:ascii="Times New Roman" w:hAnsi="Times New Roman" w:eastAsia="仿宋_GB2312" w:cs="黑体"/>
          <w:color w:val="auto"/>
          <w:kern w:val="0"/>
          <w:sz w:val="32"/>
          <w:szCs w:val="32"/>
          <w:highlight w:val="none"/>
          <w:lang w:val="en-US" w:eastAsia="zh-CN" w:bidi="ar-SA"/>
        </w:rPr>
      </w:pPr>
      <w:r>
        <w:rPr>
          <w:rFonts w:hint="eastAsia" w:ascii="Times New Roman" w:hAnsi="Times New Roman" w:eastAsia="仿宋_GB2312" w:cs="黑体"/>
          <w:color w:val="auto"/>
          <w:kern w:val="0"/>
          <w:sz w:val="32"/>
          <w:szCs w:val="32"/>
          <w:highlight w:val="none"/>
          <w:lang w:val="en-US" w:eastAsia="zh-CN" w:bidi="ar-SA"/>
        </w:rPr>
        <w:t>4.经营收入:指高等学校在教学、科研活动及其辅助活动之外开展非独立核算经营活动取得的收入。</w:t>
      </w:r>
    </w:p>
    <w:p>
      <w:pPr>
        <w:ind w:firstLine="640" w:firstLineChars="200"/>
        <w:jc w:val="left"/>
        <w:rPr>
          <w:rFonts w:hint="eastAsia" w:ascii="Times New Roman" w:hAnsi="Times New Roman" w:eastAsia="仿宋_GB2312" w:cs="黑体"/>
          <w:color w:val="auto"/>
          <w:kern w:val="0"/>
          <w:sz w:val="32"/>
          <w:szCs w:val="32"/>
          <w:highlight w:val="none"/>
          <w:lang w:val="en-US" w:eastAsia="zh-CN" w:bidi="ar-SA"/>
        </w:rPr>
      </w:pPr>
      <w:r>
        <w:rPr>
          <w:rFonts w:hint="eastAsia" w:ascii="Times New Roman" w:hAnsi="Times New Roman" w:eastAsia="仿宋_GB2312" w:cs="黑体"/>
          <w:color w:val="auto"/>
          <w:kern w:val="0"/>
          <w:sz w:val="32"/>
          <w:szCs w:val="32"/>
          <w:highlight w:val="none"/>
          <w:lang w:val="en-US" w:eastAsia="zh-CN" w:bidi="ar-SA"/>
        </w:rPr>
        <w:t>5.附属单位缴款:指高等学校附属单位按照有关规定上缴的收入。</w:t>
      </w:r>
    </w:p>
    <w:p>
      <w:pPr>
        <w:ind w:firstLine="640" w:firstLineChars="200"/>
        <w:jc w:val="left"/>
        <w:rPr>
          <w:rFonts w:hint="eastAsia" w:ascii="Times New Roman" w:hAnsi="Times New Roman" w:eastAsia="仿宋_GB2312" w:cs="黑体"/>
          <w:color w:val="auto"/>
          <w:kern w:val="0"/>
          <w:sz w:val="32"/>
          <w:szCs w:val="32"/>
          <w:highlight w:val="none"/>
          <w:lang w:val="en-US" w:eastAsia="zh-CN" w:bidi="ar-SA"/>
        </w:rPr>
      </w:pPr>
      <w:r>
        <w:rPr>
          <w:rFonts w:hint="eastAsia" w:ascii="Times New Roman" w:hAnsi="Times New Roman" w:eastAsia="仿宋_GB2312" w:cs="黑体"/>
          <w:color w:val="auto"/>
          <w:kern w:val="0"/>
          <w:sz w:val="32"/>
          <w:szCs w:val="32"/>
          <w:highlight w:val="none"/>
          <w:lang w:val="en-US" w:eastAsia="zh-CN" w:bidi="ar-SA"/>
        </w:rPr>
        <w:t>6.其他收入:指高等学校取得的除上述收入以外的各项收入，主要包括</w:t>
      </w:r>
    </w:p>
    <w:p>
      <w:pPr>
        <w:ind w:firstLine="640" w:firstLineChars="200"/>
        <w:jc w:val="left"/>
        <w:rPr>
          <w:rFonts w:hint="eastAsia" w:ascii="Times New Roman" w:hAnsi="Times New Roman" w:eastAsia="仿宋_GB2312" w:cs="黑体"/>
          <w:color w:val="auto"/>
          <w:kern w:val="0"/>
          <w:sz w:val="32"/>
          <w:szCs w:val="32"/>
          <w:highlight w:val="none"/>
          <w:lang w:val="en-US" w:eastAsia="zh-CN" w:bidi="ar-SA"/>
        </w:rPr>
      </w:pPr>
      <w:r>
        <w:rPr>
          <w:rFonts w:hint="eastAsia" w:ascii="Times New Roman" w:hAnsi="Times New Roman" w:eastAsia="仿宋_GB2312" w:cs="黑体"/>
          <w:color w:val="auto"/>
          <w:kern w:val="0"/>
          <w:sz w:val="32"/>
          <w:szCs w:val="32"/>
          <w:highlight w:val="none"/>
          <w:lang w:val="en-US" w:eastAsia="zh-CN" w:bidi="ar-SA"/>
        </w:rPr>
        <w:t>非同级财政拨款、投资收益、捐赠收入、租金收入、银行存款利息收入、现金盘盈收入和存货盘盈收入等。</w:t>
      </w:r>
    </w:p>
    <w:p>
      <w:pPr>
        <w:ind w:firstLine="640" w:firstLineChars="200"/>
        <w:jc w:val="left"/>
        <w:rPr>
          <w:rFonts w:hint="eastAsia" w:ascii="Times New Roman" w:hAnsi="Times New Roman" w:eastAsia="仿宋_GB2312" w:cs="黑体"/>
          <w:color w:val="auto"/>
          <w:kern w:val="0"/>
          <w:sz w:val="32"/>
          <w:szCs w:val="32"/>
          <w:highlight w:val="none"/>
          <w:lang w:val="en-US" w:eastAsia="zh-CN" w:bidi="ar-SA"/>
        </w:rPr>
      </w:pPr>
      <w:r>
        <w:rPr>
          <w:rFonts w:hint="eastAsia" w:ascii="Times New Roman" w:hAnsi="Times New Roman" w:eastAsia="仿宋_GB2312" w:cs="黑体"/>
          <w:color w:val="auto"/>
          <w:kern w:val="0"/>
          <w:sz w:val="32"/>
          <w:szCs w:val="32"/>
          <w:highlight w:val="none"/>
          <w:lang w:val="en-US" w:eastAsia="zh-CN" w:bidi="ar-SA"/>
        </w:rPr>
        <w:t>二、支出科目说明</w:t>
      </w:r>
    </w:p>
    <w:p>
      <w:pPr>
        <w:ind w:firstLine="640" w:firstLineChars="200"/>
        <w:jc w:val="left"/>
        <w:rPr>
          <w:rFonts w:hint="eastAsia" w:ascii="Times New Roman" w:hAnsi="Times New Roman" w:eastAsia="仿宋_GB2312" w:cs="黑体"/>
          <w:color w:val="auto"/>
          <w:kern w:val="0"/>
          <w:sz w:val="32"/>
          <w:szCs w:val="32"/>
          <w:highlight w:val="none"/>
          <w:lang w:val="en-US" w:eastAsia="zh-CN" w:bidi="ar-SA"/>
        </w:rPr>
      </w:pPr>
      <w:r>
        <w:rPr>
          <w:rFonts w:hint="eastAsia" w:ascii="Times New Roman" w:hAnsi="Times New Roman" w:eastAsia="仿宋_GB2312" w:cs="黑体"/>
          <w:color w:val="auto"/>
          <w:kern w:val="0"/>
          <w:sz w:val="32"/>
          <w:szCs w:val="32"/>
          <w:highlight w:val="none"/>
          <w:lang w:val="en-US" w:eastAsia="zh-CN" w:bidi="ar-SA"/>
        </w:rPr>
        <w:t>1.基本支出:指高等学校为了保障其正常运转、完成教学科研和其他日</w:t>
      </w:r>
    </w:p>
    <w:p>
      <w:pPr>
        <w:jc w:val="left"/>
        <w:rPr>
          <w:rFonts w:hint="eastAsia" w:ascii="Times New Roman" w:hAnsi="Times New Roman" w:eastAsia="仿宋_GB2312" w:cs="黑体"/>
          <w:color w:val="auto"/>
          <w:kern w:val="0"/>
          <w:sz w:val="32"/>
          <w:szCs w:val="32"/>
          <w:highlight w:val="none"/>
          <w:lang w:val="en-US" w:eastAsia="zh-CN" w:bidi="ar-SA"/>
        </w:rPr>
      </w:pPr>
      <w:r>
        <w:rPr>
          <w:rFonts w:hint="eastAsia" w:ascii="Times New Roman" w:hAnsi="Times New Roman" w:eastAsia="仿宋_GB2312" w:cs="黑体"/>
          <w:color w:val="auto"/>
          <w:kern w:val="0"/>
          <w:sz w:val="32"/>
          <w:szCs w:val="32"/>
          <w:highlight w:val="none"/>
          <w:lang w:val="en-US" w:eastAsia="zh-CN" w:bidi="ar-SA"/>
        </w:rPr>
        <w:t>常工作任务而发生的支出，包括人员支出和公用支出。</w:t>
      </w:r>
    </w:p>
    <w:p>
      <w:pPr>
        <w:ind w:firstLine="640" w:firstLineChars="200"/>
        <w:jc w:val="left"/>
        <w:rPr>
          <w:rFonts w:hint="eastAsia" w:ascii="Times New Roman" w:hAnsi="Times New Roman" w:eastAsia="仿宋_GB2312" w:cs="黑体"/>
          <w:color w:val="auto"/>
          <w:kern w:val="0"/>
          <w:sz w:val="32"/>
          <w:szCs w:val="32"/>
          <w:highlight w:val="none"/>
          <w:lang w:val="en-US" w:eastAsia="zh-CN" w:bidi="ar-SA"/>
        </w:rPr>
      </w:pPr>
      <w:r>
        <w:rPr>
          <w:rFonts w:hint="eastAsia" w:ascii="Times New Roman" w:hAnsi="Times New Roman" w:eastAsia="仿宋_GB2312" w:cs="黑体"/>
          <w:color w:val="auto"/>
          <w:kern w:val="0"/>
          <w:sz w:val="32"/>
          <w:szCs w:val="32"/>
          <w:highlight w:val="none"/>
          <w:lang w:val="en-US" w:eastAsia="zh-CN" w:bidi="ar-SA"/>
        </w:rPr>
        <w:t>2.项目支出:指高等学校为了完成特定工作任务和事业发展目标，在基</w:t>
      </w:r>
    </w:p>
    <w:p>
      <w:pPr>
        <w:jc w:val="left"/>
        <w:rPr>
          <w:rFonts w:hint="eastAsia" w:ascii="Times New Roman" w:hAnsi="Times New Roman" w:eastAsia="仿宋_GB2312" w:cs="黑体"/>
          <w:color w:val="auto"/>
          <w:kern w:val="0"/>
          <w:sz w:val="32"/>
          <w:szCs w:val="32"/>
          <w:highlight w:val="none"/>
          <w:lang w:val="en-US" w:eastAsia="zh-CN" w:bidi="ar-SA"/>
        </w:rPr>
      </w:pPr>
      <w:r>
        <w:rPr>
          <w:rFonts w:hint="eastAsia" w:ascii="Times New Roman" w:hAnsi="Times New Roman" w:eastAsia="仿宋_GB2312" w:cs="黑体"/>
          <w:color w:val="auto"/>
          <w:kern w:val="0"/>
          <w:sz w:val="32"/>
          <w:szCs w:val="32"/>
          <w:highlight w:val="none"/>
          <w:lang w:val="en-US" w:eastAsia="zh-CN" w:bidi="ar-SA"/>
        </w:rPr>
        <w:t>本支出之外所发生的支出。</w:t>
      </w:r>
    </w:p>
    <w:p>
      <w:pPr>
        <w:ind w:firstLine="640" w:firstLineChars="200"/>
        <w:jc w:val="left"/>
        <w:rPr>
          <w:rFonts w:hint="eastAsia" w:ascii="Times New Roman" w:hAnsi="Times New Roman" w:eastAsia="仿宋_GB2312" w:cs="黑体"/>
          <w:color w:val="auto"/>
          <w:kern w:val="0"/>
          <w:sz w:val="32"/>
          <w:szCs w:val="32"/>
          <w:highlight w:val="none"/>
          <w:lang w:val="en-US" w:eastAsia="zh-CN" w:bidi="ar-SA"/>
        </w:rPr>
      </w:pPr>
      <w:r>
        <w:rPr>
          <w:rFonts w:hint="eastAsia" w:ascii="Times New Roman" w:hAnsi="Times New Roman" w:eastAsia="仿宋_GB2312" w:cs="黑体"/>
          <w:color w:val="auto"/>
          <w:kern w:val="0"/>
          <w:sz w:val="32"/>
          <w:szCs w:val="32"/>
          <w:highlight w:val="none"/>
          <w:lang w:val="en-US" w:eastAsia="zh-CN" w:bidi="ar-SA"/>
        </w:rPr>
        <w:t>3.上缴上级支出:指高等学校按照财政部门和主管部门的规定上缴上级</w:t>
      </w:r>
    </w:p>
    <w:p>
      <w:pPr>
        <w:jc w:val="left"/>
        <w:rPr>
          <w:rFonts w:hint="eastAsia" w:ascii="Times New Roman" w:hAnsi="Times New Roman" w:eastAsia="仿宋_GB2312" w:cs="黑体"/>
          <w:color w:val="auto"/>
          <w:kern w:val="0"/>
          <w:sz w:val="32"/>
          <w:szCs w:val="32"/>
          <w:highlight w:val="none"/>
          <w:lang w:val="en-US" w:eastAsia="zh-CN" w:bidi="ar-SA"/>
        </w:rPr>
      </w:pPr>
      <w:r>
        <w:rPr>
          <w:rFonts w:hint="eastAsia" w:ascii="Times New Roman" w:hAnsi="Times New Roman" w:eastAsia="仿宋_GB2312" w:cs="黑体"/>
          <w:color w:val="auto"/>
          <w:kern w:val="0"/>
          <w:sz w:val="32"/>
          <w:szCs w:val="32"/>
          <w:highlight w:val="none"/>
          <w:lang w:val="en-US" w:eastAsia="zh-CN" w:bidi="ar-SA"/>
        </w:rPr>
        <w:t>单位的支出。</w:t>
      </w:r>
    </w:p>
    <w:p>
      <w:pPr>
        <w:ind w:firstLine="640" w:firstLineChars="200"/>
        <w:jc w:val="left"/>
        <w:rPr>
          <w:rFonts w:hint="eastAsia" w:ascii="Times New Roman" w:hAnsi="Times New Roman" w:eastAsia="仿宋_GB2312" w:cs="黑体"/>
          <w:color w:val="auto"/>
          <w:kern w:val="0"/>
          <w:sz w:val="32"/>
          <w:szCs w:val="32"/>
          <w:highlight w:val="none"/>
          <w:lang w:val="en-US" w:eastAsia="zh-CN" w:bidi="ar-SA"/>
        </w:rPr>
      </w:pPr>
      <w:r>
        <w:rPr>
          <w:rFonts w:hint="eastAsia" w:ascii="Times New Roman" w:hAnsi="Times New Roman" w:eastAsia="仿宋_GB2312" w:cs="黑体"/>
          <w:color w:val="auto"/>
          <w:kern w:val="0"/>
          <w:sz w:val="32"/>
          <w:szCs w:val="32"/>
          <w:highlight w:val="none"/>
          <w:lang w:val="en-US" w:eastAsia="zh-CN" w:bidi="ar-SA"/>
        </w:rPr>
        <w:t>4.经营支出:指高等学校在教学、科研及其辅助活动之外开展非独立核算经营活动发生的支出。</w:t>
      </w:r>
    </w:p>
    <w:p>
      <w:pPr>
        <w:ind w:firstLine="640" w:firstLineChars="200"/>
        <w:jc w:val="left"/>
        <w:rPr>
          <w:rFonts w:hint="eastAsia" w:ascii="Times New Roman" w:hAnsi="Times New Roman" w:eastAsia="仿宋_GB2312" w:cs="黑体"/>
          <w:color w:val="auto"/>
          <w:kern w:val="0"/>
          <w:sz w:val="32"/>
          <w:szCs w:val="32"/>
          <w:highlight w:val="none"/>
          <w:lang w:val="en-US" w:eastAsia="zh-CN" w:bidi="ar-SA"/>
        </w:rPr>
      </w:pPr>
      <w:r>
        <w:rPr>
          <w:rFonts w:hint="eastAsia" w:ascii="Times New Roman" w:hAnsi="Times New Roman" w:eastAsia="仿宋_GB2312" w:cs="黑体"/>
          <w:color w:val="auto"/>
          <w:kern w:val="0"/>
          <w:sz w:val="32"/>
          <w:szCs w:val="32"/>
          <w:highlight w:val="none"/>
          <w:lang w:val="en-US" w:eastAsia="zh-CN" w:bidi="ar-SA"/>
        </w:rPr>
        <w:t>5.对下级单位补助支出:指高等学校用财政补助收入之外的收入对附属单位补助发生的支出。</w:t>
      </w:r>
    </w:p>
    <w:p>
      <w:pPr>
        <w:pStyle w:val="14"/>
        <w:jc w:val="center"/>
        <w:rPr>
          <w:sz w:val="72"/>
          <w:szCs w:val="72"/>
          <w:highlight w:val="none"/>
        </w:rPr>
      </w:pPr>
    </w:p>
    <w:p>
      <w:pPr>
        <w:pStyle w:val="14"/>
        <w:jc w:val="center"/>
        <w:rPr>
          <w:sz w:val="72"/>
          <w:szCs w:val="72"/>
          <w:highlight w:val="none"/>
        </w:rPr>
      </w:pPr>
    </w:p>
    <w:p>
      <w:pPr>
        <w:pStyle w:val="14"/>
        <w:jc w:val="center"/>
        <w:rPr>
          <w:sz w:val="72"/>
          <w:szCs w:val="72"/>
          <w:highlight w:val="none"/>
        </w:rPr>
      </w:pPr>
    </w:p>
    <w:p>
      <w:pPr>
        <w:pStyle w:val="14"/>
        <w:jc w:val="center"/>
        <w:rPr>
          <w:sz w:val="72"/>
          <w:szCs w:val="72"/>
          <w:highlight w:val="none"/>
        </w:rPr>
      </w:pPr>
    </w:p>
    <w:p>
      <w:pPr>
        <w:pStyle w:val="14"/>
        <w:jc w:val="center"/>
        <w:rPr>
          <w:sz w:val="72"/>
          <w:szCs w:val="72"/>
          <w:highlight w:val="none"/>
        </w:rPr>
      </w:pPr>
    </w:p>
    <w:p>
      <w:pPr>
        <w:pStyle w:val="14"/>
        <w:jc w:val="center"/>
        <w:rPr>
          <w:sz w:val="72"/>
          <w:szCs w:val="72"/>
          <w:highlight w:val="none"/>
        </w:rPr>
      </w:pPr>
    </w:p>
    <w:p>
      <w:pPr>
        <w:pStyle w:val="14"/>
        <w:jc w:val="center"/>
        <w:rPr>
          <w:sz w:val="72"/>
          <w:szCs w:val="72"/>
          <w:highlight w:val="none"/>
        </w:rPr>
      </w:pPr>
    </w:p>
    <w:p>
      <w:pPr>
        <w:pStyle w:val="14"/>
        <w:jc w:val="center"/>
        <w:rPr>
          <w:sz w:val="72"/>
          <w:szCs w:val="72"/>
          <w:highlight w:val="none"/>
        </w:rPr>
      </w:pPr>
    </w:p>
    <w:p>
      <w:pPr>
        <w:rPr>
          <w:sz w:val="72"/>
          <w:szCs w:val="72"/>
          <w:highlight w:val="none"/>
        </w:rPr>
      </w:pPr>
      <w:r>
        <w:rPr>
          <w:sz w:val="72"/>
          <w:szCs w:val="72"/>
          <w:highlight w:val="none"/>
        </w:rPr>
        <w:br w:type="page"/>
      </w:r>
    </w:p>
    <w:p>
      <w:pPr>
        <w:pStyle w:val="14"/>
        <w:jc w:val="center"/>
        <w:rPr>
          <w:rFonts w:hint="eastAsia" w:ascii="方正小标宋_GBK" w:hAnsi="方正小标宋_GBK" w:eastAsia="方正小标宋_GBK" w:cs="方正小标宋_GBK"/>
          <w:sz w:val="72"/>
          <w:szCs w:val="72"/>
          <w:highlight w:val="none"/>
        </w:rPr>
      </w:pPr>
    </w:p>
    <w:p>
      <w:pPr>
        <w:pStyle w:val="14"/>
        <w:jc w:val="center"/>
        <w:rPr>
          <w:rFonts w:hint="eastAsia" w:ascii="方正小标宋_GBK" w:hAnsi="方正小标宋_GBK" w:eastAsia="方正小标宋_GBK" w:cs="方正小标宋_GBK"/>
          <w:sz w:val="72"/>
          <w:szCs w:val="72"/>
          <w:highlight w:val="none"/>
        </w:rPr>
      </w:pPr>
    </w:p>
    <w:p>
      <w:pPr>
        <w:pStyle w:val="14"/>
        <w:jc w:val="center"/>
        <w:rPr>
          <w:rFonts w:hint="eastAsia" w:ascii="方正小标宋_GBK" w:hAnsi="方正小标宋_GBK" w:eastAsia="方正小标宋_GBK" w:cs="方正小标宋_GBK"/>
          <w:sz w:val="72"/>
          <w:szCs w:val="72"/>
          <w:highlight w:val="none"/>
        </w:rPr>
      </w:pPr>
    </w:p>
    <w:p>
      <w:pPr>
        <w:pStyle w:val="14"/>
        <w:jc w:val="center"/>
        <w:rPr>
          <w:rFonts w:hint="eastAsia" w:ascii="方正小标宋_GBK" w:hAnsi="方正小标宋_GBK" w:eastAsia="方正小标宋_GBK" w:cs="方正小标宋_GBK"/>
          <w:sz w:val="72"/>
          <w:szCs w:val="72"/>
          <w:highlight w:val="none"/>
        </w:rPr>
      </w:pPr>
    </w:p>
    <w:p>
      <w:pPr>
        <w:pStyle w:val="14"/>
        <w:jc w:val="center"/>
        <w:rPr>
          <w:rFonts w:hint="eastAsia" w:ascii="方正小标宋_GBK" w:hAnsi="方正小标宋_GBK" w:eastAsia="方正小标宋_GBK" w:cs="方正小标宋_GBK"/>
          <w:sz w:val="72"/>
          <w:szCs w:val="72"/>
          <w:highlight w:val="none"/>
        </w:rPr>
      </w:pPr>
    </w:p>
    <w:p>
      <w:pPr>
        <w:pStyle w:val="14"/>
        <w:jc w:val="center"/>
        <w:rPr>
          <w:rFonts w:hint="eastAsia" w:ascii="方正小标宋_GBK" w:hAnsi="方正小标宋_GBK" w:eastAsia="方正小标宋_GBK" w:cs="方正小标宋_GBK"/>
          <w:sz w:val="72"/>
          <w:szCs w:val="72"/>
          <w:highlight w:val="none"/>
        </w:rPr>
      </w:pPr>
      <w:r>
        <w:rPr>
          <w:rFonts w:hint="eastAsia" w:ascii="方正小标宋_GBK" w:hAnsi="方正小标宋_GBK" w:eastAsia="方正小标宋_GBK" w:cs="方正小标宋_GBK"/>
          <w:sz w:val="72"/>
          <w:szCs w:val="72"/>
          <w:highlight w:val="none"/>
        </w:rPr>
        <w:t>第</w:t>
      </w:r>
      <w:r>
        <w:rPr>
          <w:rFonts w:hint="eastAsia" w:ascii="方正小标宋_GBK" w:hAnsi="方正小标宋_GBK" w:eastAsia="方正小标宋_GBK" w:cs="方正小标宋_GBK"/>
          <w:sz w:val="72"/>
          <w:szCs w:val="72"/>
          <w:highlight w:val="none"/>
          <w:lang w:eastAsia="zh-CN"/>
        </w:rPr>
        <w:t>五</w:t>
      </w:r>
      <w:r>
        <w:rPr>
          <w:rFonts w:hint="eastAsia" w:ascii="方正小标宋_GBK" w:hAnsi="方正小标宋_GBK" w:eastAsia="方正小标宋_GBK" w:cs="方正小标宋_GBK"/>
          <w:sz w:val="72"/>
          <w:szCs w:val="72"/>
          <w:highlight w:val="none"/>
        </w:rPr>
        <w:t>部分</w:t>
      </w:r>
    </w:p>
    <w:p>
      <w:pPr>
        <w:pStyle w:val="14"/>
        <w:jc w:val="center"/>
        <w:rPr>
          <w:rFonts w:hint="eastAsia" w:ascii="方正小标宋_GBK" w:hAnsi="方正小标宋_GBK" w:eastAsia="方正小标宋_GBK" w:cs="方正小标宋_GBK"/>
          <w:sz w:val="70"/>
          <w:szCs w:val="70"/>
          <w:highlight w:val="none"/>
        </w:rPr>
      </w:pPr>
    </w:p>
    <w:p>
      <w:pPr>
        <w:pStyle w:val="14"/>
        <w:jc w:val="center"/>
        <w:rPr>
          <w:rFonts w:hint="eastAsia" w:eastAsia="黑体"/>
          <w:sz w:val="72"/>
          <w:szCs w:val="72"/>
          <w:highlight w:val="none"/>
          <w:lang w:eastAsia="zh-CN"/>
        </w:rPr>
      </w:pPr>
      <w:r>
        <w:rPr>
          <w:rFonts w:hint="eastAsia" w:ascii="方正小标宋_GBK" w:hAnsi="方正小标宋_GBK" w:eastAsia="方正小标宋_GBK" w:cs="方正小标宋_GBK"/>
          <w:sz w:val="70"/>
          <w:szCs w:val="70"/>
          <w:highlight w:val="none"/>
          <w:lang w:eastAsia="zh-CN"/>
        </w:rPr>
        <w:t>附</w:t>
      </w:r>
      <w:r>
        <w:rPr>
          <w:rFonts w:hint="eastAsia" w:ascii="方正小标宋_GBK" w:hAnsi="方正小标宋_GBK" w:eastAsia="方正小标宋_GBK" w:cs="方正小标宋_GBK"/>
          <w:sz w:val="70"/>
          <w:szCs w:val="70"/>
          <w:highlight w:val="none"/>
          <w:lang w:val="en-US" w:eastAsia="zh-CN"/>
        </w:rPr>
        <w:t xml:space="preserve"> </w:t>
      </w:r>
      <w:r>
        <w:rPr>
          <w:rFonts w:hint="eastAsia" w:ascii="方正小标宋_GBK" w:hAnsi="方正小标宋_GBK" w:eastAsia="方正小标宋_GBK" w:cs="方正小标宋_GBK"/>
          <w:sz w:val="70"/>
          <w:szCs w:val="70"/>
          <w:highlight w:val="none"/>
          <w:lang w:eastAsia="zh-CN"/>
        </w:rPr>
        <w:t>件</w:t>
      </w:r>
    </w:p>
    <w:p>
      <w:pPr>
        <w:rPr>
          <w:sz w:val="72"/>
          <w:szCs w:val="72"/>
          <w:highlight w:val="none"/>
        </w:rPr>
      </w:pPr>
      <w:r>
        <w:rPr>
          <w:sz w:val="72"/>
          <w:szCs w:val="72"/>
          <w:highlight w:val="none"/>
        </w:rPr>
        <w:br w:type="page"/>
      </w:r>
    </w:p>
    <w:p>
      <w:pPr>
        <w:spacing w:line="240" w:lineRule="atLeast"/>
        <w:jc w:val="center"/>
        <w:rPr>
          <w:rFonts w:eastAsia="方正小标宋简体"/>
          <w:bCs/>
          <w:kern w:val="0"/>
          <w:sz w:val="44"/>
          <w:szCs w:val="44"/>
        </w:rPr>
      </w:pPr>
      <w:r>
        <w:rPr>
          <w:rFonts w:eastAsia="方正小标宋简体"/>
          <w:bCs/>
          <w:kern w:val="0"/>
          <w:sz w:val="44"/>
          <w:szCs w:val="44"/>
        </w:rPr>
        <w:t>202</w:t>
      </w:r>
      <w:r>
        <w:rPr>
          <w:rFonts w:hint="eastAsia" w:eastAsia="方正小标宋简体"/>
          <w:bCs/>
          <w:kern w:val="0"/>
          <w:sz w:val="44"/>
          <w:szCs w:val="44"/>
        </w:rPr>
        <w:t>3</w:t>
      </w:r>
      <w:r>
        <w:rPr>
          <w:rFonts w:eastAsia="方正小标宋简体"/>
          <w:bCs/>
          <w:kern w:val="0"/>
          <w:sz w:val="44"/>
          <w:szCs w:val="44"/>
        </w:rPr>
        <w:t>年度</w:t>
      </w:r>
      <w:r>
        <w:rPr>
          <w:rFonts w:hint="eastAsia" w:eastAsia="方正小标宋简体"/>
          <w:bCs/>
          <w:kern w:val="0"/>
          <w:sz w:val="44"/>
          <w:szCs w:val="44"/>
        </w:rPr>
        <w:t>湖南工程学院</w:t>
      </w:r>
      <w:r>
        <w:rPr>
          <w:rFonts w:eastAsia="方正小标宋简体"/>
          <w:bCs/>
          <w:kern w:val="0"/>
          <w:sz w:val="44"/>
          <w:szCs w:val="44"/>
        </w:rPr>
        <w:t>整体支出</w:t>
      </w:r>
    </w:p>
    <w:p>
      <w:pPr>
        <w:spacing w:line="240" w:lineRule="atLeast"/>
        <w:jc w:val="center"/>
        <w:rPr>
          <w:rFonts w:eastAsia="方正小标宋简体"/>
          <w:bCs/>
          <w:kern w:val="0"/>
          <w:sz w:val="44"/>
          <w:szCs w:val="44"/>
        </w:rPr>
      </w:pPr>
      <w:r>
        <w:rPr>
          <w:rFonts w:eastAsia="方正小标宋简体"/>
          <w:bCs/>
          <w:kern w:val="0"/>
          <w:sz w:val="44"/>
          <w:szCs w:val="44"/>
        </w:rPr>
        <w:t>绩效自评报告</w:t>
      </w:r>
    </w:p>
    <w:p>
      <w:pPr>
        <w:pStyle w:val="2"/>
        <w:ind w:left="420"/>
      </w:pPr>
    </w:p>
    <w:p>
      <w:pPr>
        <w:spacing w:line="240" w:lineRule="atLeast"/>
        <w:ind w:firstLine="640" w:firstLineChars="200"/>
        <w:jc w:val="left"/>
        <w:rPr>
          <w:rFonts w:eastAsia="仿宋"/>
          <w:bCs/>
          <w:sz w:val="32"/>
          <w:szCs w:val="32"/>
        </w:rPr>
      </w:pPr>
      <w:r>
        <w:rPr>
          <w:rFonts w:hint="eastAsia" w:eastAsia="仿宋"/>
          <w:bCs/>
          <w:sz w:val="32"/>
          <w:szCs w:val="32"/>
        </w:rPr>
        <w:t>根据《湖南省财政厅关于开展 2023 年度省级预算部门绩效自评和部门评价的通知》（湘财绩〔2024〕1 号）和《湖南省教育厅预算支出绩效评价管理办法》（湘教发〔2020〕38号）要求</w:t>
      </w:r>
      <w:r>
        <w:rPr>
          <w:rFonts w:eastAsia="仿宋"/>
          <w:bCs/>
          <w:sz w:val="32"/>
          <w:szCs w:val="32"/>
        </w:rPr>
        <w:t>，学校领导高度重视，校长亲自部署，分管财务的校领导组织计划财务处等相关职能部门召开专题会议，布置202</w:t>
      </w:r>
      <w:r>
        <w:rPr>
          <w:rFonts w:hint="eastAsia" w:eastAsia="仿宋"/>
          <w:bCs/>
          <w:sz w:val="32"/>
          <w:szCs w:val="32"/>
        </w:rPr>
        <w:t>3</w:t>
      </w:r>
      <w:r>
        <w:rPr>
          <w:rFonts w:eastAsia="仿宋"/>
          <w:bCs/>
          <w:sz w:val="32"/>
          <w:szCs w:val="32"/>
        </w:rPr>
        <w:t>年度</w:t>
      </w:r>
      <w:r>
        <w:rPr>
          <w:rFonts w:hint="eastAsia" w:eastAsia="仿宋"/>
          <w:bCs/>
          <w:sz w:val="32"/>
          <w:szCs w:val="32"/>
        </w:rPr>
        <w:t>整体支出</w:t>
      </w:r>
      <w:r>
        <w:rPr>
          <w:rFonts w:eastAsia="仿宋"/>
          <w:bCs/>
          <w:sz w:val="32"/>
          <w:szCs w:val="32"/>
        </w:rPr>
        <w:t>绩效评价工作，制定了工作方案，将各项评价指标逐一分解到相关部门，并对基础数据填报、资料清单提供、项目实施情况总结等提出了具体要求，明确了各职能部门的责任。现将我校202</w:t>
      </w:r>
      <w:r>
        <w:rPr>
          <w:rFonts w:hint="eastAsia" w:eastAsia="仿宋"/>
          <w:bCs/>
          <w:sz w:val="32"/>
          <w:szCs w:val="32"/>
        </w:rPr>
        <w:t>3</w:t>
      </w:r>
      <w:r>
        <w:rPr>
          <w:rFonts w:eastAsia="仿宋"/>
          <w:bCs/>
          <w:sz w:val="32"/>
          <w:szCs w:val="32"/>
        </w:rPr>
        <w:t>年度整体支出绩效情况报告如下：</w:t>
      </w:r>
    </w:p>
    <w:p>
      <w:pPr>
        <w:spacing w:line="240" w:lineRule="atLeast"/>
        <w:ind w:right="105" w:rightChars="50" w:firstLine="742" w:firstLineChars="232"/>
        <w:rPr>
          <w:rFonts w:eastAsia="黑体"/>
          <w:b/>
          <w:sz w:val="32"/>
          <w:szCs w:val="32"/>
        </w:rPr>
      </w:pPr>
      <w:r>
        <w:rPr>
          <w:rFonts w:hint="eastAsia" w:eastAsia="黑体"/>
          <w:b/>
          <w:sz w:val="32"/>
          <w:szCs w:val="32"/>
        </w:rPr>
        <w:t>一、单位基本情况</w:t>
      </w:r>
    </w:p>
    <w:p>
      <w:pPr>
        <w:spacing w:line="240" w:lineRule="atLeast"/>
        <w:ind w:firstLine="640" w:firstLineChars="200"/>
        <w:rPr>
          <w:rFonts w:eastAsia="仿宋"/>
          <w:bCs/>
          <w:sz w:val="32"/>
          <w:szCs w:val="32"/>
        </w:rPr>
      </w:pPr>
      <w:r>
        <w:rPr>
          <w:rFonts w:hint="eastAsia" w:eastAsia="仿宋"/>
          <w:bCs/>
          <w:sz w:val="32"/>
          <w:szCs w:val="32"/>
        </w:rPr>
        <w:t>湖南工程学院坐落于一代伟人毛泽东的故乡湖南省湘潭市，是经教育部批准、湖南省直属普通全日制公办本科院校。学校是教育部“服务国家特殊需求人才培养项目”硕士专业学位研究生教育试点高校、教育部首批“卓越工程师教育培养计划”“新工科研究与实践项目”“新文科研究与实践项目”实施高校；是湖南省首批硕士学位授予立项建设单位、首批“2011计划”入选高校、湖南省“双一流”建设高水平应用特色学院、湖南省本科一批招生单位。</w:t>
      </w:r>
    </w:p>
    <w:p>
      <w:pPr>
        <w:spacing w:line="240" w:lineRule="atLeast"/>
        <w:ind w:firstLine="640" w:firstLineChars="200"/>
        <w:rPr>
          <w:rFonts w:eastAsia="仿宋"/>
          <w:bCs/>
          <w:sz w:val="32"/>
          <w:szCs w:val="32"/>
        </w:rPr>
      </w:pPr>
      <w:r>
        <w:rPr>
          <w:rFonts w:hint="eastAsia" w:eastAsia="仿宋"/>
          <w:bCs/>
          <w:sz w:val="32"/>
          <w:szCs w:val="32"/>
        </w:rPr>
        <w:t>湖南工程学院由原湘潭机电高等专科学校和湖南纺织高等专科学校于2000年6月合并组建而成。湘潭机电高等专科学校始创于1951年，隶属于原国家机械工业部，是全国示范性高等工程专科重点建设学校；湖南纺织高等专科学校始创于1978年，隶属于原湖南省纺织工业厅。1958年至1963年，湘潭机电高专的前身“湘潭电机学院”曾开办过5年本科教育。</w:t>
      </w:r>
    </w:p>
    <w:p>
      <w:pPr>
        <w:spacing w:line="240" w:lineRule="atLeast"/>
        <w:ind w:firstLine="640" w:firstLineChars="200"/>
        <w:rPr>
          <w:rFonts w:eastAsia="仿宋"/>
          <w:bCs/>
          <w:sz w:val="32"/>
          <w:szCs w:val="32"/>
        </w:rPr>
      </w:pPr>
      <w:r>
        <w:rPr>
          <w:rFonts w:hint="eastAsia" w:eastAsia="仿宋"/>
          <w:bCs/>
          <w:sz w:val="32"/>
          <w:szCs w:val="32"/>
        </w:rPr>
        <w:t>学校现有主校区和书院路校区2个校区，依江傍湖，环境幽雅，墨韵书香，校园占地面积1830.6亩，建筑面积57.6万㎡，是湖南省“园林式单位”和“文明标兵校园”。72年工程教育深厚积淀、23年应用型本科教育不懈耕耘、14年“卓越计划”深度实施、12年专业学位研究生教育有效探索，始终立足湖南、面向全国、服务基层，为机电、纺织行业和社会经济建设输送了20万余名高素质应用型人才。</w:t>
      </w:r>
    </w:p>
    <w:p>
      <w:pPr>
        <w:spacing w:line="240" w:lineRule="atLeast"/>
        <w:ind w:firstLine="640" w:firstLineChars="200"/>
        <w:rPr>
          <w:rFonts w:eastAsia="仿宋"/>
          <w:bCs/>
          <w:sz w:val="32"/>
          <w:szCs w:val="32"/>
        </w:rPr>
      </w:pPr>
      <w:r>
        <w:rPr>
          <w:rFonts w:hint="eastAsia" w:eastAsia="仿宋"/>
          <w:bCs/>
          <w:sz w:val="32"/>
          <w:szCs w:val="32"/>
        </w:rPr>
        <w:t>2000年，学校在全国地方高校中率先确立了应用型本科办学定位，形成了鲜明的工程应用型人才培养特色。学校是“全国工程应用型本科教育协作组”副组长单位、“全国高等学校教学研究会应用型本科院校专门委员会”副主任委员单位、“普通高等教育应用型人才培养规划教材编审委员会”主任委员单位、“全国地方高校卓越工程教育校企联盟”理事长单位、“中国教育国际交流协会应用型高校国际交流分会”理事单位和“湖南省普通高校新工科建设协作组”副主任单位。2007年，以优异成绩通过教育部本科教学工作水平评估；2018年，通过教育部教学工作审核评估。</w:t>
      </w:r>
    </w:p>
    <w:p>
      <w:pPr>
        <w:spacing w:line="240" w:lineRule="atLeast"/>
        <w:ind w:firstLine="640" w:firstLineChars="200"/>
        <w:rPr>
          <w:rFonts w:eastAsia="仿宋"/>
          <w:bCs/>
          <w:sz w:val="32"/>
          <w:szCs w:val="32"/>
        </w:rPr>
      </w:pPr>
      <w:r>
        <w:rPr>
          <w:rFonts w:hint="eastAsia" w:eastAsia="仿宋"/>
          <w:bCs/>
          <w:sz w:val="32"/>
          <w:szCs w:val="32"/>
        </w:rPr>
        <w:t>学校以工学为主，多学科协调发展，涵盖工、管、文、理、经、艺等六个学科门类，形成了电气、机械、纺织、化工、管理、信息等优势专业群。现有20个教学科研单位、55个本科招生专业、2个专业硕士学位点。工程学学科进入ESI全球前1%，工程教育改革成果获国家级教学成果二等奖。现有8个湖南省“双一流”建设应用特色学科；教育部“卓越计划”实施专业8个；国家级一流本科专业建设点6个、省级一流本科专业建设点24个；国家级、省级特色专业8个，国家级、省级专业综合改革试点专业6个。4个专业通过工程教育专业认证，5个专业获受理。现有国家级一流本科课程2门，省级精品课程11项、省级一流本科课程/精品在线课程61门、省级课程思政示范课程5门。建有现代产业学院4个，其中人工智能、智慧能源2个产业学院获批认定为省级现代产业学院、1个省级卓越工程师培养（实践）基地。拥有国家级实践教育平台4个，国家级大学生科技创新团队1个，教育部产学合作协同育人项目224项；省级创新创业平台52个，省级校企合作人才培养示范基地、优秀实习基地25个，省级虚拟仿真实验中心、示范实验室（中心）9个。金工实习基地是教育部确定的全国高校金工实习教学指导人员培训与考试中心。</w:t>
      </w:r>
    </w:p>
    <w:p>
      <w:pPr>
        <w:spacing w:line="240" w:lineRule="atLeast"/>
        <w:ind w:firstLine="640" w:firstLineChars="200"/>
        <w:rPr>
          <w:rFonts w:eastAsia="仿宋"/>
          <w:bCs/>
          <w:sz w:val="32"/>
          <w:szCs w:val="32"/>
        </w:rPr>
      </w:pPr>
      <w:r>
        <w:rPr>
          <w:rFonts w:hint="eastAsia" w:eastAsia="仿宋"/>
          <w:bCs/>
          <w:sz w:val="32"/>
          <w:szCs w:val="32"/>
        </w:rPr>
        <w:t>学校坚持人才强校战略，现有教职工1478人，其中高级职称教师442人，博士生、硕士生导师178人。聘有院士、杰青等国家级高层次人才9人。拥有国务院特贴专家、全国优秀教师、教育部教指委委员等11人；中国科协托举人才、教育部新世纪优秀人才等4人；省政府特贴专家、省教学名师、省杰青等近100人，省级教学、科研团队14个。</w:t>
      </w:r>
    </w:p>
    <w:p>
      <w:pPr>
        <w:spacing w:line="240" w:lineRule="atLeast"/>
        <w:ind w:firstLine="640" w:firstLineChars="200"/>
        <w:rPr>
          <w:rFonts w:eastAsia="仿宋"/>
          <w:bCs/>
          <w:sz w:val="32"/>
          <w:szCs w:val="32"/>
        </w:rPr>
      </w:pPr>
      <w:r>
        <w:rPr>
          <w:rFonts w:hint="eastAsia" w:eastAsia="仿宋"/>
          <w:bCs/>
          <w:sz w:val="32"/>
          <w:szCs w:val="32"/>
        </w:rPr>
        <w:t>学校积极推进科学研究，科技创新和社会服务能力显著提升。拥有首批湖南省高等学校2011协同创新中心“风电装备与电能变换”、湖南省重点实验室“汽车动力与传动系统”等省级平台39个，是“海上风力发电装备与风能高效利用”全国重点实验室共建单位。近五年，承担国家重点研发计划项目、国家基金等科研项目47项、省部级科研项目690项，承担横向科研项目1421项，新增科研经费7.76亿元，授权发明专利283项，出版专著47部，获省部级科研成果奖励33项。学校大力加强产学研合作，先后与893家企业建立了产学研合作关系；150多项科研成果得到应用或转化，累计产生经济效益超过220亿元。2019年科技成果转化金额进入全国高校前100名，2022年入选湖南省首批高等学校科技成果转化和技术转移基地，2023年入选湖南省技术转移示范机构和首批湖南省科技成果转化中试基地。</w:t>
      </w:r>
    </w:p>
    <w:p>
      <w:pPr>
        <w:spacing w:line="240" w:lineRule="atLeast"/>
        <w:ind w:firstLine="640" w:firstLineChars="200"/>
        <w:rPr>
          <w:rFonts w:eastAsia="仿宋"/>
          <w:bCs/>
          <w:sz w:val="32"/>
          <w:szCs w:val="32"/>
        </w:rPr>
      </w:pPr>
      <w:r>
        <w:rPr>
          <w:rFonts w:hint="eastAsia" w:eastAsia="仿宋"/>
          <w:bCs/>
          <w:sz w:val="32"/>
          <w:szCs w:val="32"/>
        </w:rPr>
        <w:t>学校坚持开放办学战略，深入开展对外交流与合作，先后同20多个国家和地区的30余所大学和机构建立了友好合作关系，是湖南省最早开展中外合作办学项目的高校之一，开设教育部中外合作办学本科项目3个，已招收10多个国家的来华留学生来校学习。</w:t>
      </w:r>
    </w:p>
    <w:p>
      <w:pPr>
        <w:spacing w:line="240" w:lineRule="atLeast"/>
        <w:ind w:firstLine="640" w:firstLineChars="200"/>
        <w:rPr>
          <w:rFonts w:eastAsia="仿宋"/>
          <w:bCs/>
          <w:sz w:val="32"/>
          <w:szCs w:val="32"/>
        </w:rPr>
      </w:pPr>
      <w:r>
        <w:rPr>
          <w:rFonts w:hint="eastAsia" w:eastAsia="仿宋"/>
          <w:bCs/>
          <w:sz w:val="32"/>
          <w:szCs w:val="32"/>
        </w:rPr>
        <w:t>面向未来，学校将在习近平新时代中国特色社会主义思想指引下，贯彻落实学校第四次党代会精神，弘扬“锲而不舍，敢为人先”的校训精神，秉承“团结、严谨、诚信、创新”的优良校风，坚持以立德树人为根本任务，不断深化应用型本科办学定位，坚持质量立校、人才强校、特色兴校。全校师生员工将积极进取，开拓创新，全面推进内涵发展和高质量发展，大力加强“双一流”建设和新工科新文科建设，不断提高人才培养质量、科技创新水平和社会服务能力，为全面建成特色鲜明高水平工程应用型大学而努力奋斗。</w:t>
      </w:r>
    </w:p>
    <w:p>
      <w:pPr>
        <w:spacing w:line="240" w:lineRule="atLeast"/>
        <w:ind w:right="105" w:rightChars="50" w:firstLine="742" w:firstLineChars="232"/>
        <w:rPr>
          <w:rFonts w:eastAsia="黑体"/>
          <w:b/>
          <w:sz w:val="32"/>
          <w:szCs w:val="32"/>
        </w:rPr>
      </w:pPr>
      <w:r>
        <w:rPr>
          <w:rFonts w:hint="eastAsia" w:eastAsia="黑体"/>
          <w:b/>
          <w:sz w:val="32"/>
          <w:szCs w:val="32"/>
        </w:rPr>
        <w:t>二、一般公共预算支出情况</w:t>
      </w:r>
    </w:p>
    <w:p>
      <w:pPr>
        <w:numPr>
          <w:ilvl w:val="255"/>
          <w:numId w:val="0"/>
        </w:numPr>
        <w:spacing w:line="240" w:lineRule="atLeast"/>
        <w:ind w:firstLine="640" w:firstLineChars="200"/>
        <w:jc w:val="left"/>
      </w:pPr>
      <w:r>
        <w:rPr>
          <w:rFonts w:hint="eastAsia" w:eastAsia="仿宋"/>
          <w:bCs/>
          <w:kern w:val="0"/>
          <w:sz w:val="32"/>
          <w:szCs w:val="32"/>
        </w:rPr>
        <w:t>2023年一般公共预算年初预算数20,641.94万元，决算数29,405.97万元。按照功能分类，包括：教育支出28,895.93万元，科学技术支出399.40万元，一般公共服务支出89.10万元，社会保障和就业支出21.54万元。按照支出性质和经济分类，主要包括：基本支出16,582.80万元，项目12,823.17万元。</w:t>
      </w:r>
    </w:p>
    <w:p>
      <w:pPr>
        <w:spacing w:line="240" w:lineRule="atLeast"/>
        <w:ind w:firstLine="640" w:firstLineChars="200"/>
        <w:rPr>
          <w:rFonts w:eastAsia="楷体_GB2312"/>
          <w:b/>
          <w:bCs/>
          <w:sz w:val="32"/>
          <w:szCs w:val="32"/>
        </w:rPr>
      </w:pPr>
      <w:r>
        <w:rPr>
          <w:rFonts w:hint="eastAsia" w:eastAsia="楷体_GB2312"/>
          <w:b/>
          <w:bCs/>
          <w:sz w:val="32"/>
          <w:szCs w:val="32"/>
        </w:rPr>
        <w:t>（一）基本支出情况</w:t>
      </w:r>
    </w:p>
    <w:p>
      <w:pPr>
        <w:spacing w:line="240" w:lineRule="atLeast"/>
        <w:ind w:firstLine="640" w:firstLineChars="200"/>
        <w:jc w:val="left"/>
        <w:rPr>
          <w:rFonts w:eastAsia="仿宋"/>
          <w:bCs/>
          <w:sz w:val="32"/>
          <w:szCs w:val="32"/>
        </w:rPr>
      </w:pPr>
      <w:r>
        <w:rPr>
          <w:rFonts w:hint="eastAsia" w:eastAsia="仿宋"/>
          <w:bCs/>
          <w:sz w:val="32"/>
          <w:szCs w:val="32"/>
        </w:rPr>
        <w:t>2023年收入16,582.80万元，基本支出16,582.80万元，执行率100%。其中：人员经费15,116.40万元，占比91.16%；公用经费1,466.40万元，占比8.84%。</w:t>
      </w:r>
    </w:p>
    <w:p>
      <w:pPr>
        <w:spacing w:line="240" w:lineRule="atLeast"/>
        <w:ind w:firstLine="640" w:firstLineChars="200"/>
        <w:rPr>
          <w:rFonts w:eastAsia="楷体_GB2312"/>
          <w:b/>
          <w:bCs/>
          <w:sz w:val="32"/>
          <w:szCs w:val="32"/>
        </w:rPr>
      </w:pPr>
      <w:r>
        <w:rPr>
          <w:rFonts w:hint="eastAsia" w:eastAsia="楷体_GB2312"/>
          <w:b/>
          <w:bCs/>
          <w:sz w:val="32"/>
          <w:szCs w:val="32"/>
        </w:rPr>
        <w:t>（二）项目支出情况</w:t>
      </w:r>
    </w:p>
    <w:p>
      <w:pPr>
        <w:spacing w:line="240" w:lineRule="atLeast"/>
        <w:ind w:firstLine="640" w:firstLineChars="200"/>
        <w:rPr>
          <w:rFonts w:eastAsia="仿宋"/>
          <w:bCs/>
          <w:sz w:val="32"/>
          <w:szCs w:val="32"/>
        </w:rPr>
      </w:pPr>
      <w:r>
        <w:rPr>
          <w:rFonts w:hint="eastAsia" w:eastAsia="仿宋"/>
          <w:bCs/>
          <w:sz w:val="32"/>
          <w:szCs w:val="32"/>
        </w:rPr>
        <w:t>2023年当年收入19,686.14万元，项目支出12,823.17万元，执行率65.14%，结余结转6,862.97万元。年底结余主要构成教育强国专项资金。</w:t>
      </w:r>
    </w:p>
    <w:p>
      <w:pPr>
        <w:spacing w:line="240" w:lineRule="atLeast"/>
        <w:ind w:right="105" w:rightChars="50" w:firstLine="742" w:firstLineChars="232"/>
        <w:rPr>
          <w:rFonts w:eastAsia="黑体"/>
          <w:b/>
          <w:sz w:val="32"/>
          <w:szCs w:val="32"/>
        </w:rPr>
      </w:pPr>
      <w:r>
        <w:rPr>
          <w:rFonts w:hint="eastAsia" w:eastAsia="黑体"/>
          <w:b/>
          <w:sz w:val="32"/>
          <w:szCs w:val="32"/>
        </w:rPr>
        <w:t>三、政府性基金预算支出情况</w:t>
      </w:r>
    </w:p>
    <w:p>
      <w:pPr>
        <w:spacing w:line="240" w:lineRule="atLeast"/>
        <w:ind w:firstLine="640" w:firstLineChars="200"/>
        <w:jc w:val="left"/>
        <w:rPr>
          <w:rFonts w:eastAsia="仿宋"/>
          <w:bCs/>
          <w:sz w:val="32"/>
          <w:szCs w:val="32"/>
        </w:rPr>
      </w:pPr>
      <w:r>
        <w:rPr>
          <w:rFonts w:hint="eastAsia" w:eastAsia="仿宋"/>
          <w:bCs/>
          <w:sz w:val="32"/>
          <w:szCs w:val="32"/>
        </w:rPr>
        <w:t>无</w:t>
      </w:r>
    </w:p>
    <w:p>
      <w:pPr>
        <w:spacing w:line="240" w:lineRule="atLeast"/>
        <w:ind w:right="105" w:rightChars="50" w:firstLine="742" w:firstLineChars="232"/>
        <w:rPr>
          <w:rFonts w:eastAsia="黑体"/>
          <w:b/>
          <w:sz w:val="32"/>
          <w:szCs w:val="32"/>
        </w:rPr>
      </w:pPr>
      <w:r>
        <w:rPr>
          <w:rFonts w:hint="eastAsia" w:eastAsia="黑体"/>
          <w:b/>
          <w:sz w:val="32"/>
          <w:szCs w:val="32"/>
        </w:rPr>
        <w:t>四、国有资本经营预算支出情况</w:t>
      </w:r>
    </w:p>
    <w:p>
      <w:pPr>
        <w:pStyle w:val="15"/>
        <w:spacing w:line="600" w:lineRule="exact"/>
        <w:ind w:firstLine="640"/>
        <w:jc w:val="left"/>
        <w:rPr>
          <w:rFonts w:ascii="Times New Roman" w:hAnsi="Times New Roman" w:eastAsia="仿宋"/>
          <w:bCs/>
          <w:sz w:val="32"/>
          <w:szCs w:val="32"/>
        </w:rPr>
      </w:pPr>
      <w:r>
        <w:rPr>
          <w:rFonts w:hint="eastAsia" w:ascii="Times New Roman" w:hAnsi="Times New Roman" w:eastAsia="仿宋"/>
          <w:bCs/>
          <w:sz w:val="32"/>
          <w:szCs w:val="32"/>
        </w:rPr>
        <w:t>无</w:t>
      </w:r>
    </w:p>
    <w:p>
      <w:pPr>
        <w:pStyle w:val="15"/>
        <w:spacing w:line="600" w:lineRule="exact"/>
        <w:ind w:firstLine="643"/>
        <w:jc w:val="left"/>
        <w:rPr>
          <w:rFonts w:ascii="Times New Roman" w:hAnsi="Times New Roman" w:eastAsia="黑体"/>
          <w:b/>
          <w:sz w:val="32"/>
          <w:szCs w:val="32"/>
        </w:rPr>
      </w:pPr>
      <w:r>
        <w:rPr>
          <w:rFonts w:hint="eastAsia" w:ascii="Times New Roman" w:hAnsi="Times New Roman" w:eastAsia="黑体"/>
          <w:b/>
          <w:sz w:val="32"/>
          <w:szCs w:val="32"/>
        </w:rPr>
        <w:t>五、社会保险基金预算支出情况</w:t>
      </w:r>
    </w:p>
    <w:p>
      <w:pPr>
        <w:pStyle w:val="15"/>
        <w:spacing w:line="600" w:lineRule="exact"/>
        <w:ind w:firstLine="640"/>
        <w:jc w:val="left"/>
        <w:rPr>
          <w:rFonts w:ascii="Times New Roman" w:hAnsi="Times New Roman" w:eastAsia="仿宋"/>
          <w:bCs/>
          <w:sz w:val="32"/>
          <w:szCs w:val="32"/>
        </w:rPr>
      </w:pPr>
      <w:r>
        <w:rPr>
          <w:rFonts w:hint="eastAsia" w:ascii="Times New Roman" w:hAnsi="Times New Roman" w:eastAsia="仿宋"/>
          <w:bCs/>
          <w:sz w:val="32"/>
          <w:szCs w:val="32"/>
        </w:rPr>
        <w:t>无</w:t>
      </w:r>
    </w:p>
    <w:p>
      <w:pPr>
        <w:spacing w:line="240" w:lineRule="atLeast"/>
        <w:ind w:right="105" w:rightChars="50" w:firstLine="742" w:firstLineChars="232"/>
        <w:rPr>
          <w:rFonts w:eastAsia="黑体"/>
          <w:b/>
          <w:sz w:val="32"/>
          <w:szCs w:val="32"/>
        </w:rPr>
      </w:pPr>
      <w:r>
        <w:rPr>
          <w:rFonts w:hint="eastAsia" w:eastAsia="黑体"/>
          <w:b/>
          <w:sz w:val="32"/>
          <w:szCs w:val="32"/>
        </w:rPr>
        <w:t>六、部门整体支出绩效情况</w:t>
      </w:r>
    </w:p>
    <w:p>
      <w:pPr>
        <w:autoSpaceDE w:val="0"/>
        <w:autoSpaceDN w:val="0"/>
        <w:adjustRightInd w:val="0"/>
        <w:spacing w:line="240" w:lineRule="atLeast"/>
        <w:ind w:firstLine="640" w:firstLineChars="200"/>
        <w:jc w:val="left"/>
        <w:rPr>
          <w:rFonts w:eastAsia="仿宋"/>
          <w:bCs/>
          <w:sz w:val="32"/>
          <w:szCs w:val="32"/>
        </w:rPr>
      </w:pPr>
      <w:r>
        <w:rPr>
          <w:rFonts w:eastAsia="仿宋"/>
          <w:bCs/>
          <w:sz w:val="32"/>
          <w:szCs w:val="32"/>
        </w:rPr>
        <w:t>202</w:t>
      </w:r>
      <w:r>
        <w:rPr>
          <w:rFonts w:hint="eastAsia" w:eastAsia="仿宋"/>
          <w:bCs/>
          <w:sz w:val="32"/>
          <w:szCs w:val="32"/>
        </w:rPr>
        <w:t>3</w:t>
      </w:r>
      <w:r>
        <w:rPr>
          <w:rFonts w:eastAsia="仿宋"/>
          <w:bCs/>
          <w:sz w:val="32"/>
          <w:szCs w:val="32"/>
        </w:rPr>
        <w:t>年，学校</w:t>
      </w:r>
      <w:r>
        <w:rPr>
          <w:rFonts w:hint="eastAsia" w:eastAsia="仿宋"/>
          <w:bCs/>
          <w:sz w:val="32"/>
          <w:szCs w:val="32"/>
        </w:rPr>
        <w:t>领导班子</w:t>
      </w:r>
      <w:r>
        <w:rPr>
          <w:rFonts w:eastAsia="仿宋"/>
          <w:bCs/>
          <w:sz w:val="32"/>
          <w:szCs w:val="32"/>
        </w:rPr>
        <w:t>以习近平新时代中国特色社会主义思想为指导，</w:t>
      </w:r>
      <w:r>
        <w:rPr>
          <w:rFonts w:hint="eastAsia" w:eastAsia="仿宋"/>
          <w:bCs/>
          <w:sz w:val="32"/>
          <w:szCs w:val="32"/>
        </w:rPr>
        <w:t>以</w:t>
      </w:r>
      <w:r>
        <w:rPr>
          <w:rFonts w:eastAsia="仿宋"/>
          <w:bCs/>
          <w:sz w:val="32"/>
          <w:szCs w:val="32"/>
        </w:rPr>
        <w:t>学习宣传贯彻党的二十大精神</w:t>
      </w:r>
      <w:r>
        <w:rPr>
          <w:rFonts w:hint="eastAsia" w:eastAsia="仿宋"/>
          <w:bCs/>
          <w:sz w:val="32"/>
          <w:szCs w:val="32"/>
        </w:rPr>
        <w:t>为主线</w:t>
      </w:r>
      <w:r>
        <w:rPr>
          <w:rFonts w:eastAsia="仿宋"/>
          <w:bCs/>
          <w:sz w:val="32"/>
          <w:szCs w:val="32"/>
        </w:rPr>
        <w:t>，</w:t>
      </w:r>
      <w:r>
        <w:rPr>
          <w:rFonts w:hint="eastAsia" w:eastAsia="仿宋"/>
          <w:bCs/>
          <w:sz w:val="32"/>
          <w:szCs w:val="32"/>
        </w:rPr>
        <w:t>深入开展主题教育</w:t>
      </w:r>
      <w:r>
        <w:rPr>
          <w:rFonts w:eastAsia="仿宋"/>
          <w:bCs/>
          <w:sz w:val="32"/>
          <w:szCs w:val="32"/>
        </w:rPr>
        <w:t>，</w:t>
      </w:r>
      <w:r>
        <w:rPr>
          <w:rFonts w:hint="eastAsia" w:eastAsia="仿宋"/>
          <w:bCs/>
          <w:sz w:val="32"/>
          <w:szCs w:val="32"/>
        </w:rPr>
        <w:t>思想建设和政治“三力”持续提升。发挥政治核心作用，落实党委领导下的校长负责制，坚持民主集中制，班子风清气正、团结协作，带领师生以饱满的精神状态朝着“全面建成特色鲜明高水平工程应用型大学”目标团结奋斗，取得了良好的办学实绩。经综合评定，我校部门整体支出绩效评价得分为98分。</w:t>
      </w:r>
    </w:p>
    <w:p>
      <w:pPr>
        <w:spacing w:line="240" w:lineRule="atLeast"/>
        <w:ind w:firstLine="640" w:firstLineChars="200"/>
        <w:rPr>
          <w:rFonts w:eastAsia="楷体_GB2312"/>
          <w:b/>
          <w:bCs/>
          <w:sz w:val="32"/>
          <w:szCs w:val="32"/>
        </w:rPr>
      </w:pPr>
      <w:r>
        <w:rPr>
          <w:rFonts w:hint="eastAsia" w:eastAsia="楷体_GB2312"/>
          <w:b/>
          <w:bCs/>
          <w:sz w:val="32"/>
          <w:szCs w:val="32"/>
        </w:rPr>
        <w:t>（一）重点工作成效</w:t>
      </w:r>
    </w:p>
    <w:p>
      <w:pPr>
        <w:pStyle w:val="4"/>
        <w:autoSpaceDE w:val="0"/>
        <w:spacing w:before="156" w:beforeLines="50" w:after="156" w:afterLines="50" w:line="540" w:lineRule="exact"/>
        <w:ind w:firstLine="640" w:firstLineChars="200"/>
        <w:rPr>
          <w:rFonts w:eastAsia="仿宋_GB2312"/>
          <w:kern w:val="0"/>
        </w:rPr>
      </w:pPr>
      <w:r>
        <w:rPr>
          <w:rFonts w:hint="eastAsia" w:eastAsia="仿宋_GB2312"/>
          <w:b/>
          <w:bCs/>
        </w:rPr>
        <w:t>1. 主题教育走深走实见行见效。</w:t>
      </w:r>
      <w:r>
        <w:rPr>
          <w:rFonts w:hint="eastAsia" w:eastAsia="仿宋_GB2312"/>
          <w:kern w:val="0"/>
        </w:rPr>
        <w:t>牢牢把握“学思想、强党性、重实践、建新功”总要求，出台学校主题教育、理论学习、调查研究等实施方案，一体推动主题教育有力开展。理论学习抓紧抓实，党委会“第一议题”及时学16次、党委理论学习中心组带头学15次、读书班集中学5期，校领导带头讲专题党课、微党课17次，全校上下形成了“大学习、大讨论”浓厚氛围。2023年有14篇理论文章在《光明日报》主题教育专刊和《湖南日报》（理论智库版）等刊发，“走找想促——百名博士入企业解决技术难题”等8篇主题教育成效被湖南卫视新闻联播等省级平台报道。</w:t>
      </w:r>
    </w:p>
    <w:p>
      <w:pPr>
        <w:pStyle w:val="4"/>
        <w:autoSpaceDE w:val="0"/>
        <w:spacing w:line="540" w:lineRule="exact"/>
        <w:ind w:left="0" w:firstLine="640" w:firstLineChars="200"/>
        <w:rPr>
          <w:rFonts w:ascii="仿宋_GB2312" w:eastAsia="仿宋_GB2312"/>
        </w:rPr>
      </w:pPr>
      <w:r>
        <w:rPr>
          <w:rFonts w:hint="eastAsia" w:eastAsia="仿宋_GB2312"/>
          <w:b/>
          <w:bCs/>
        </w:rPr>
        <w:t>2. 申硕工作全力推进。</w:t>
      </w:r>
      <w:r>
        <w:rPr>
          <w:rFonts w:ascii="仿宋_GB2312" w:eastAsia="仿宋_GB2312"/>
        </w:rPr>
        <w:t>邀请</w:t>
      </w:r>
      <w:r>
        <w:rPr>
          <w:rFonts w:hint="eastAsia" w:ascii="仿宋_GB2312" w:eastAsia="仿宋_GB2312"/>
        </w:rPr>
        <w:t>省学位委员会委员等</w:t>
      </w:r>
      <w:r>
        <w:rPr>
          <w:rFonts w:ascii="仿宋_GB2312" w:eastAsia="仿宋_GB2312"/>
        </w:rPr>
        <w:t>多批专</w:t>
      </w:r>
      <w:r>
        <w:rPr>
          <w:rFonts w:hint="eastAsia" w:ascii="仿宋_GB2312" w:eastAsia="仿宋_GB2312"/>
        </w:rPr>
        <w:t>家</w:t>
      </w:r>
      <w:r>
        <w:rPr>
          <w:rFonts w:ascii="仿宋_GB2312" w:eastAsia="仿宋_GB2312"/>
        </w:rPr>
        <w:t>指导</w:t>
      </w:r>
      <w:r>
        <w:rPr>
          <w:rFonts w:hint="eastAsia" w:ascii="仿宋_GB2312" w:eastAsia="仿宋_GB2312"/>
        </w:rPr>
        <w:t>优化申硕材料，</w:t>
      </w:r>
      <w:r>
        <w:rPr>
          <w:rFonts w:ascii="仿宋_GB2312" w:eastAsia="仿宋_GB2312"/>
        </w:rPr>
        <w:t>多次向</w:t>
      </w:r>
      <w:r>
        <w:rPr>
          <w:rFonts w:hint="eastAsia" w:ascii="仿宋_GB2312" w:eastAsia="仿宋_GB2312"/>
        </w:rPr>
        <w:t>国务院、</w:t>
      </w:r>
      <w:r>
        <w:rPr>
          <w:rFonts w:ascii="仿宋_GB2312" w:eastAsia="仿宋_GB2312"/>
        </w:rPr>
        <w:t>教育部、省委省政府、省人大、省教育厅等相关部门领导汇报</w:t>
      </w:r>
      <w:r>
        <w:rPr>
          <w:rFonts w:hint="eastAsia" w:ascii="仿宋_GB2312" w:eastAsia="仿宋_GB2312"/>
        </w:rPr>
        <w:t>申硕情况</w:t>
      </w:r>
      <w:r>
        <w:rPr>
          <w:rFonts w:ascii="仿宋_GB2312" w:eastAsia="仿宋_GB2312"/>
        </w:rPr>
        <w:t>。</w:t>
      </w:r>
      <w:r>
        <w:rPr>
          <w:rFonts w:hint="eastAsia" w:ascii="仿宋_GB2312" w:eastAsia="仿宋_GB2312"/>
        </w:rPr>
        <w:t>精准把握申硕要求，持续加强内涵建设，在学科建设、工程教育改革、国家级平台建设、应用型办学影响力等方面取得新突破：工程学学科进入ESI全球前1%；工程教育改革成果获国家级教学成果二等奖，是全国地方高校“电类”唯一获奖；学校成为“海上风力发电装备与风能高效利用全国重点实验室”共建单位，</w:t>
      </w:r>
      <w:r>
        <w:rPr>
          <w:rFonts w:ascii="仿宋_GB2312" w:eastAsia="仿宋_GB2312"/>
        </w:rPr>
        <w:t>当选全国地方高校卓越工程教育校企联盟理事长单位</w:t>
      </w:r>
      <w:r>
        <w:rPr>
          <w:rFonts w:hint="eastAsia" w:ascii="仿宋_GB2312" w:eastAsia="仿宋_GB2312"/>
        </w:rPr>
        <w:t>。</w:t>
      </w:r>
    </w:p>
    <w:p>
      <w:pPr>
        <w:pStyle w:val="4"/>
        <w:autoSpaceDE w:val="0"/>
        <w:spacing w:before="156" w:beforeLines="50" w:after="156" w:afterLines="50" w:line="540" w:lineRule="exact"/>
        <w:ind w:firstLine="640" w:firstLineChars="200"/>
        <w:rPr>
          <w:rFonts w:ascii="楷体" w:hAnsi="楷体" w:eastAsia="楷体"/>
          <w:b/>
          <w:bCs/>
        </w:rPr>
      </w:pPr>
      <w:r>
        <w:rPr>
          <w:rFonts w:hint="eastAsia" w:ascii="楷体" w:hAnsi="楷体" w:eastAsia="楷体"/>
          <w:b/>
          <w:bCs/>
        </w:rPr>
        <w:t>（二）认真贯彻新时代党的建设总要求，党的领导全面加强</w:t>
      </w:r>
    </w:p>
    <w:p>
      <w:pPr>
        <w:pStyle w:val="4"/>
        <w:autoSpaceDE w:val="0"/>
        <w:spacing w:before="156" w:beforeLines="50" w:after="156" w:afterLines="50" w:line="540" w:lineRule="exact"/>
        <w:ind w:firstLine="640" w:firstLineChars="200"/>
        <w:rPr>
          <w:rFonts w:eastAsia="黑体" w:cs="Calibri"/>
        </w:rPr>
      </w:pPr>
      <w:r>
        <w:rPr>
          <w:rFonts w:hint="eastAsia" w:eastAsia="仿宋_GB2312"/>
          <w:b/>
          <w:bCs/>
        </w:rPr>
        <w:t>3</w:t>
      </w:r>
      <w:r>
        <w:rPr>
          <w:rFonts w:eastAsia="仿宋_GB2312"/>
          <w:b/>
          <w:bCs/>
        </w:rPr>
        <w:t xml:space="preserve">. </w:t>
      </w:r>
      <w:r>
        <w:rPr>
          <w:rFonts w:ascii="仿宋_GB2312" w:eastAsia="仿宋_GB2312"/>
          <w:b/>
          <w:bCs/>
        </w:rPr>
        <w:t>基层党组织建设提质增效。</w:t>
      </w:r>
      <w:r>
        <w:rPr>
          <w:rFonts w:ascii="仿宋_GB2312" w:eastAsia="仿宋_GB2312"/>
        </w:rPr>
        <w:t>持续开展党支部整建提质专项行动，深入开展</w:t>
      </w:r>
      <w:r>
        <w:rPr>
          <w:rFonts w:eastAsia="仿宋_GB2312"/>
        </w:rPr>
        <w:t>“</w:t>
      </w:r>
      <w:r>
        <w:rPr>
          <w:rFonts w:ascii="仿宋_GB2312" w:eastAsia="仿宋_GB2312"/>
        </w:rPr>
        <w:t>一月一课一片一实践</w:t>
      </w:r>
      <w:r>
        <w:rPr>
          <w:rFonts w:eastAsia="仿宋_GB2312"/>
        </w:rPr>
        <w:t>”</w:t>
      </w:r>
      <w:r>
        <w:rPr>
          <w:rFonts w:ascii="仿宋_GB2312" w:eastAsia="仿宋_GB2312"/>
        </w:rPr>
        <w:t>主题党日活动，坚持</w:t>
      </w:r>
      <w:r>
        <w:rPr>
          <w:rFonts w:eastAsia="仿宋_GB2312"/>
        </w:rPr>
        <w:t>“</w:t>
      </w:r>
      <w:r>
        <w:rPr>
          <w:rFonts w:ascii="仿宋_GB2312" w:eastAsia="仿宋_GB2312"/>
        </w:rPr>
        <w:t>一支部一特色一实事</w:t>
      </w:r>
      <w:r>
        <w:rPr>
          <w:rFonts w:eastAsia="仿宋_GB2312"/>
        </w:rPr>
        <w:t>”</w:t>
      </w:r>
      <w:r>
        <w:rPr>
          <w:rFonts w:ascii="仿宋_GB2312" w:eastAsia="仿宋_GB2312"/>
        </w:rPr>
        <w:t>，探索</w:t>
      </w:r>
      <w:r>
        <w:rPr>
          <w:rFonts w:eastAsia="仿宋_GB2312"/>
        </w:rPr>
        <w:t>“</w:t>
      </w:r>
      <w:r>
        <w:rPr>
          <w:rFonts w:ascii="仿宋_GB2312" w:eastAsia="仿宋_GB2312"/>
        </w:rPr>
        <w:t>党建</w:t>
      </w:r>
      <w:r>
        <w:rPr>
          <w:rFonts w:eastAsia="仿宋_GB2312"/>
        </w:rPr>
        <w:t>+”</w:t>
      </w:r>
      <w:r>
        <w:rPr>
          <w:rFonts w:ascii="仿宋_GB2312" w:eastAsia="仿宋_GB2312"/>
        </w:rPr>
        <w:t>模式，构建</w:t>
      </w:r>
      <w:r>
        <w:rPr>
          <w:rFonts w:eastAsia="仿宋_GB2312"/>
        </w:rPr>
        <w:t>“</w:t>
      </w:r>
      <w:r>
        <w:rPr>
          <w:rFonts w:ascii="仿宋_GB2312" w:eastAsia="仿宋_GB2312"/>
        </w:rPr>
        <w:t>智慧党校</w:t>
      </w:r>
      <w:r>
        <w:rPr>
          <w:rFonts w:eastAsia="仿宋_GB2312"/>
        </w:rPr>
        <w:t>”</w:t>
      </w:r>
      <w:r>
        <w:rPr>
          <w:rFonts w:ascii="仿宋_GB2312" w:eastAsia="仿宋_GB2312"/>
        </w:rPr>
        <w:t>平台</w:t>
      </w:r>
      <w:r>
        <w:rPr>
          <w:rFonts w:hint="eastAsia" w:ascii="仿宋_GB2312" w:eastAsia="仿宋_GB2312"/>
        </w:rPr>
        <w:t>。发展新党员</w:t>
      </w:r>
      <w:r>
        <w:rPr>
          <w:rFonts w:hint="eastAsia" w:eastAsia="仿宋_GB2312"/>
        </w:rPr>
        <w:t>682</w:t>
      </w:r>
      <w:r>
        <w:rPr>
          <w:rFonts w:hint="eastAsia" w:ascii="仿宋_GB2312" w:eastAsia="仿宋_GB2312"/>
        </w:rPr>
        <w:t>名，</w:t>
      </w:r>
      <w:r>
        <w:rPr>
          <w:rFonts w:hint="eastAsia" w:eastAsia="仿宋_GB2312"/>
        </w:rPr>
        <w:t>2</w:t>
      </w:r>
      <w:r>
        <w:rPr>
          <w:rFonts w:hint="eastAsia" w:ascii="仿宋_GB2312" w:eastAsia="仿宋_GB2312"/>
        </w:rPr>
        <w:t>名学生党员获湖南省优秀大学生党员称号。积极推进高素质干部队伍建设，每季度分层次、分主题开展干部培训，领导干部参加上级组织调训</w:t>
      </w:r>
      <w:r>
        <w:rPr>
          <w:rFonts w:hint="eastAsia" w:eastAsia="仿宋_GB2312"/>
        </w:rPr>
        <w:t>16</w:t>
      </w:r>
      <w:r>
        <w:rPr>
          <w:rFonts w:hint="eastAsia" w:ascii="仿宋_GB2312" w:eastAsia="仿宋_GB2312"/>
        </w:rPr>
        <w:t>人次，选送</w:t>
      </w:r>
      <w:r>
        <w:rPr>
          <w:rFonts w:hint="eastAsia" w:eastAsia="仿宋_GB2312"/>
        </w:rPr>
        <w:t>1</w:t>
      </w:r>
      <w:r>
        <w:rPr>
          <w:rFonts w:hint="eastAsia" w:ascii="仿宋_GB2312" w:eastAsia="仿宋_GB2312"/>
        </w:rPr>
        <w:t>名干部参加省委教育工委巡察，获聘湖南省乡村建设高校联盟理事单位，“建造之美，赋能乡村”乡村振兴促进团获评团中央</w:t>
      </w:r>
      <w:r>
        <w:rPr>
          <w:rFonts w:hint="eastAsia" w:eastAsia="仿宋_GB2312"/>
        </w:rPr>
        <w:t>2023</w:t>
      </w:r>
      <w:r>
        <w:rPr>
          <w:rFonts w:hint="eastAsia" w:ascii="仿宋_GB2312" w:eastAsia="仿宋_GB2312"/>
        </w:rPr>
        <w:t>年乡村振兴“笃行计划”优秀实践团队。</w:t>
      </w:r>
    </w:p>
    <w:p>
      <w:pPr>
        <w:pStyle w:val="4"/>
        <w:autoSpaceDE w:val="0"/>
        <w:spacing w:line="540" w:lineRule="exact"/>
        <w:ind w:firstLine="640" w:firstLineChars="200"/>
        <w:rPr>
          <w:rFonts w:ascii="Calibri" w:hAnsi="Calibri" w:cs="Calibri"/>
        </w:rPr>
      </w:pPr>
      <w:r>
        <w:rPr>
          <w:rFonts w:hint="eastAsia" w:eastAsia="仿宋_GB2312"/>
          <w:b/>
          <w:bCs/>
        </w:rPr>
        <w:t>4</w:t>
      </w:r>
      <w:r>
        <w:rPr>
          <w:rFonts w:eastAsia="仿宋_GB2312"/>
          <w:b/>
          <w:bCs/>
        </w:rPr>
        <w:t xml:space="preserve">. </w:t>
      </w:r>
      <w:r>
        <w:rPr>
          <w:rFonts w:ascii="仿宋_GB2312" w:eastAsia="仿宋_GB2312"/>
          <w:b/>
          <w:bCs/>
        </w:rPr>
        <w:t>全面从严治党向纵深发展。</w:t>
      </w:r>
      <w:r>
        <w:rPr>
          <w:rFonts w:hint="eastAsia" w:ascii="仿宋_GB2312" w:eastAsia="仿宋_GB2312"/>
        </w:rPr>
        <w:t>坚持以严的基调强化正风肃纪，一体推进“三不腐”。抓好专升本考试、招投标采购等重点领域监督，开展领导干部利用职权或影响力为亲友牟利、高校“以学谋私”、“两带头五整治”等专项整治。做好案件查办“后半篇”文章，赴警示教育基地开展现场教学，邀请巡回法庭进校园，纪法宣传和警示教育质效提升。开展上级“一把手”同下级“一把手”开展监督谈话</w:t>
      </w:r>
      <w:r>
        <w:rPr>
          <w:rFonts w:hint="eastAsia" w:eastAsia="仿宋_GB2312"/>
        </w:rPr>
        <w:t>56</w:t>
      </w:r>
      <w:r>
        <w:rPr>
          <w:rFonts w:hint="eastAsia" w:ascii="仿宋_GB2312" w:eastAsia="仿宋_GB2312"/>
        </w:rPr>
        <w:t>人次。全力推进纪检监察干部队伍教育整顿。打造清廉校园，育人环境持续向好。</w:t>
      </w:r>
    </w:p>
    <w:p>
      <w:pPr>
        <w:autoSpaceDE w:val="0"/>
        <w:spacing w:line="540" w:lineRule="exact"/>
        <w:ind w:firstLine="640" w:firstLineChars="200"/>
        <w:rPr>
          <w:rFonts w:eastAsia="仿宋_GB2312"/>
          <w:sz w:val="32"/>
          <w:szCs w:val="32"/>
          <w:u w:val="single"/>
        </w:rPr>
      </w:pPr>
      <w:r>
        <w:rPr>
          <w:rFonts w:hint="eastAsia" w:eastAsia="仿宋_GB2312"/>
          <w:b/>
          <w:bCs/>
          <w:sz w:val="32"/>
          <w:szCs w:val="32"/>
        </w:rPr>
        <w:t>5</w:t>
      </w:r>
      <w:r>
        <w:rPr>
          <w:rFonts w:eastAsia="仿宋_GB2312"/>
          <w:b/>
          <w:bCs/>
          <w:sz w:val="32"/>
          <w:szCs w:val="32"/>
        </w:rPr>
        <w:t xml:space="preserve">. </w:t>
      </w:r>
      <w:r>
        <w:rPr>
          <w:rFonts w:ascii="仿宋_GB2312" w:eastAsia="仿宋_GB2312"/>
          <w:b/>
          <w:bCs/>
          <w:sz w:val="32"/>
          <w:szCs w:val="32"/>
        </w:rPr>
        <w:t>意识形态和安全稳定工作抓紧抓实。</w:t>
      </w:r>
      <w:r>
        <w:rPr>
          <w:rFonts w:hint="eastAsia" w:ascii="仿宋_GB2312" w:eastAsia="仿宋_GB2312"/>
          <w:sz w:val="32"/>
          <w:szCs w:val="32"/>
        </w:rPr>
        <w:t>定期</w:t>
      </w:r>
      <w:r>
        <w:rPr>
          <w:rFonts w:ascii="仿宋_GB2312" w:eastAsia="仿宋_GB2312"/>
          <w:sz w:val="32"/>
          <w:szCs w:val="32"/>
        </w:rPr>
        <w:t>开展意识形态工作专项督查，坚持每季度一次</w:t>
      </w:r>
      <w:r>
        <w:rPr>
          <w:rFonts w:ascii="仿宋_GB2312" w:eastAsia="仿宋_GB2312"/>
          <w:bCs/>
          <w:sz w:val="32"/>
          <w:szCs w:val="32"/>
        </w:rPr>
        <w:t>意识形态形势研判，</w:t>
      </w:r>
      <w:r>
        <w:rPr>
          <w:rFonts w:hint="eastAsia" w:ascii="仿宋_GB2312" w:eastAsia="仿宋_GB2312"/>
          <w:sz w:val="32"/>
          <w:szCs w:val="32"/>
        </w:rPr>
        <w:t>强化新时代网络意识形态安全治理，</w:t>
      </w:r>
      <w:r>
        <w:rPr>
          <w:rFonts w:ascii="仿宋_GB2312" w:eastAsia="仿宋_GB2312"/>
          <w:bCs/>
          <w:sz w:val="32"/>
          <w:szCs w:val="32"/>
        </w:rPr>
        <w:t>召开党委会专题研究部署</w:t>
      </w:r>
      <w:r>
        <w:rPr>
          <w:rFonts w:hint="eastAsia" w:ascii="仿宋_GB2312" w:eastAsia="仿宋_GB2312"/>
          <w:bCs/>
          <w:sz w:val="32"/>
          <w:szCs w:val="32"/>
        </w:rPr>
        <w:t>，全年无意识形态问题</w:t>
      </w:r>
      <w:r>
        <w:rPr>
          <w:rFonts w:ascii="仿宋_GB2312" w:eastAsia="仿宋_GB2312"/>
          <w:sz w:val="32"/>
          <w:szCs w:val="32"/>
        </w:rPr>
        <w:t>。</w:t>
      </w:r>
      <w:r>
        <w:rPr>
          <w:rFonts w:hint="eastAsia" w:ascii="仿宋_GB2312" w:eastAsia="仿宋_GB2312"/>
          <w:sz w:val="32"/>
          <w:szCs w:val="32"/>
        </w:rPr>
        <w:t>制定</w:t>
      </w:r>
      <w:r>
        <w:rPr>
          <w:rFonts w:ascii="仿宋_GB2312" w:eastAsia="仿宋_GB2312"/>
          <w:sz w:val="32"/>
          <w:szCs w:val="32"/>
        </w:rPr>
        <w:t>学校保密工作组织机构</w:t>
      </w:r>
      <w:r>
        <w:rPr>
          <w:rFonts w:hint="eastAsia" w:ascii="仿宋_GB2312" w:eastAsia="仿宋_GB2312"/>
          <w:sz w:val="32"/>
          <w:szCs w:val="32"/>
        </w:rPr>
        <w:t>和保密制度，开展</w:t>
      </w:r>
      <w:r>
        <w:rPr>
          <w:rFonts w:ascii="仿宋_GB2312" w:eastAsia="仿宋_GB2312"/>
          <w:sz w:val="32"/>
          <w:szCs w:val="32"/>
        </w:rPr>
        <w:t>全校保密自查，保密防范能力进一步提高。推进</w:t>
      </w:r>
      <w:r>
        <w:rPr>
          <w:rFonts w:eastAsia="仿宋_GB2312"/>
          <w:sz w:val="32"/>
          <w:szCs w:val="32"/>
        </w:rPr>
        <w:t>“</w:t>
      </w:r>
      <w:r>
        <w:rPr>
          <w:rFonts w:ascii="仿宋_GB2312" w:eastAsia="仿宋_GB2312"/>
          <w:sz w:val="32"/>
          <w:szCs w:val="32"/>
        </w:rPr>
        <w:t>平安校园</w:t>
      </w:r>
      <w:r>
        <w:rPr>
          <w:rFonts w:eastAsia="仿宋_GB2312"/>
          <w:sz w:val="32"/>
          <w:szCs w:val="32"/>
        </w:rPr>
        <w:t>”</w:t>
      </w:r>
      <w:r>
        <w:rPr>
          <w:rFonts w:ascii="仿宋_GB2312" w:eastAsia="仿宋_GB2312"/>
          <w:sz w:val="32"/>
          <w:szCs w:val="32"/>
        </w:rPr>
        <w:t>建设，深化</w:t>
      </w:r>
      <w:r>
        <w:rPr>
          <w:rFonts w:eastAsia="仿宋_GB2312"/>
          <w:sz w:val="32"/>
          <w:szCs w:val="32"/>
        </w:rPr>
        <w:t>“</w:t>
      </w:r>
      <w:r>
        <w:rPr>
          <w:rFonts w:ascii="仿宋_GB2312" w:eastAsia="仿宋_GB2312"/>
          <w:sz w:val="32"/>
          <w:szCs w:val="32"/>
        </w:rPr>
        <w:t>双重预防体系</w:t>
      </w:r>
      <w:r>
        <w:rPr>
          <w:rFonts w:eastAsia="仿宋_GB2312"/>
          <w:sz w:val="32"/>
          <w:szCs w:val="32"/>
        </w:rPr>
        <w:t>”</w:t>
      </w:r>
      <w:r>
        <w:rPr>
          <w:rFonts w:ascii="仿宋_GB2312" w:eastAsia="仿宋_GB2312"/>
          <w:sz w:val="32"/>
          <w:szCs w:val="32"/>
        </w:rPr>
        <w:t>建设，持续</w:t>
      </w:r>
      <w:r>
        <w:rPr>
          <w:rFonts w:hint="eastAsia" w:ascii="仿宋_GB2312" w:eastAsia="仿宋_GB2312"/>
          <w:sz w:val="32"/>
          <w:szCs w:val="32"/>
        </w:rPr>
        <w:t>强化消防、</w:t>
      </w:r>
      <w:r>
        <w:rPr>
          <w:rFonts w:ascii="仿宋_GB2312" w:eastAsia="仿宋_GB2312"/>
          <w:sz w:val="32"/>
          <w:szCs w:val="32"/>
        </w:rPr>
        <w:t>建筑、食品、实验室等各类安全隐患排查与整改，织密安全</w:t>
      </w:r>
      <w:r>
        <w:rPr>
          <w:rFonts w:eastAsia="仿宋_GB2312"/>
          <w:sz w:val="32"/>
          <w:szCs w:val="32"/>
        </w:rPr>
        <w:t>“</w:t>
      </w:r>
      <w:r>
        <w:rPr>
          <w:rFonts w:ascii="仿宋_GB2312" w:eastAsia="仿宋_GB2312"/>
          <w:sz w:val="32"/>
          <w:szCs w:val="32"/>
        </w:rPr>
        <w:t>防护网</w:t>
      </w:r>
      <w:r>
        <w:rPr>
          <w:rFonts w:eastAsia="仿宋_GB2312"/>
          <w:sz w:val="32"/>
          <w:szCs w:val="32"/>
        </w:rPr>
        <w:t>”</w:t>
      </w:r>
      <w:r>
        <w:rPr>
          <w:rFonts w:ascii="仿宋_GB2312" w:eastAsia="仿宋_GB2312"/>
          <w:sz w:val="32"/>
          <w:szCs w:val="32"/>
        </w:rPr>
        <w:t>。</w:t>
      </w:r>
      <w:r>
        <w:rPr>
          <w:rFonts w:hint="eastAsia" w:ascii="仿宋_GB2312" w:eastAsia="仿宋_GB2312"/>
          <w:sz w:val="32"/>
          <w:szCs w:val="32"/>
        </w:rPr>
        <w:t>切实加强校园传染病及流行病预防工作，</w:t>
      </w:r>
      <w:r>
        <w:rPr>
          <w:rFonts w:ascii="仿宋_GB2312" w:eastAsia="仿宋_GB2312"/>
          <w:sz w:val="32"/>
          <w:szCs w:val="32"/>
        </w:rPr>
        <w:t>最大程度保障师生健康。</w:t>
      </w:r>
    </w:p>
    <w:p>
      <w:pPr>
        <w:pStyle w:val="4"/>
        <w:autoSpaceDE w:val="0"/>
        <w:spacing w:line="540" w:lineRule="exact"/>
        <w:ind w:left="0" w:firstLine="640" w:firstLineChars="200"/>
        <w:rPr>
          <w:rFonts w:eastAsia="仿宋_GB2312"/>
        </w:rPr>
      </w:pPr>
      <w:r>
        <w:rPr>
          <w:rFonts w:hint="eastAsia" w:eastAsia="仿宋_GB2312"/>
          <w:b/>
          <w:bCs/>
        </w:rPr>
        <w:t>6</w:t>
      </w:r>
      <w:r>
        <w:rPr>
          <w:rFonts w:eastAsia="仿宋_GB2312"/>
          <w:b/>
          <w:bCs/>
        </w:rPr>
        <w:t xml:space="preserve">. </w:t>
      </w:r>
      <w:r>
        <w:rPr>
          <w:rFonts w:ascii="仿宋_GB2312" w:eastAsia="仿宋_GB2312"/>
          <w:b/>
        </w:rPr>
        <w:t>立德树人体系加快构建</w:t>
      </w:r>
      <w:r>
        <w:rPr>
          <w:rFonts w:ascii="仿宋_GB2312" w:eastAsia="仿宋_GB2312"/>
          <w:b/>
          <w:bCs/>
        </w:rPr>
        <w:t>。</w:t>
      </w:r>
      <w:r>
        <w:rPr>
          <w:rFonts w:eastAsia="仿宋_GB2312"/>
        </w:rPr>
        <w:t>“</w:t>
      </w:r>
      <w:r>
        <w:rPr>
          <w:rFonts w:ascii="仿宋_GB2312" w:eastAsia="仿宋_GB2312"/>
        </w:rPr>
        <w:t>一站式</w:t>
      </w:r>
      <w:r>
        <w:rPr>
          <w:rFonts w:eastAsia="仿宋_GB2312"/>
        </w:rPr>
        <w:t>”</w:t>
      </w:r>
      <w:r>
        <w:rPr>
          <w:rFonts w:ascii="仿宋_GB2312" w:eastAsia="仿宋_GB2312"/>
        </w:rPr>
        <w:t>学生社区建设</w:t>
      </w:r>
      <w:r>
        <w:rPr>
          <w:rFonts w:hint="eastAsia" w:ascii="仿宋_GB2312" w:eastAsia="仿宋_GB2312"/>
        </w:rPr>
        <w:t>投入使用，成为</w:t>
      </w:r>
      <w:r>
        <w:rPr>
          <w:rFonts w:eastAsia="仿宋_GB2312"/>
        </w:rPr>
        <w:t>“</w:t>
      </w:r>
      <w:r>
        <w:rPr>
          <w:rFonts w:ascii="仿宋_GB2312" w:eastAsia="仿宋_GB2312"/>
        </w:rPr>
        <w:t>三全育人</w:t>
      </w:r>
      <w:r>
        <w:rPr>
          <w:rFonts w:eastAsia="仿宋_GB2312"/>
        </w:rPr>
        <w:t>”</w:t>
      </w:r>
      <w:r>
        <w:rPr>
          <w:rFonts w:ascii="仿宋_GB2312" w:eastAsia="仿宋_GB2312"/>
        </w:rPr>
        <w:t>实践园地。</w:t>
      </w:r>
      <w:r>
        <w:rPr>
          <w:rFonts w:hint="eastAsia" w:ascii="仿宋_GB2312" w:eastAsia="仿宋_GB2312"/>
          <w:bCs/>
        </w:rPr>
        <w:t>推进课程思政与思政课程同向同行，</w:t>
      </w:r>
      <w:r>
        <w:rPr>
          <w:rFonts w:ascii="仿宋_GB2312" w:eastAsia="仿宋_GB2312"/>
        </w:rPr>
        <w:t>新增省思政</w:t>
      </w:r>
      <w:r>
        <w:rPr>
          <w:rFonts w:eastAsia="仿宋_GB2312"/>
        </w:rPr>
        <w:t>“</w:t>
      </w:r>
      <w:r>
        <w:rPr>
          <w:rFonts w:ascii="仿宋_GB2312" w:eastAsia="仿宋_GB2312"/>
        </w:rPr>
        <w:t>金课</w:t>
      </w:r>
      <w:r>
        <w:rPr>
          <w:rFonts w:eastAsia="仿宋_GB2312"/>
        </w:rPr>
        <w:t>”1</w:t>
      </w:r>
      <w:r>
        <w:rPr>
          <w:rFonts w:ascii="仿宋_GB2312" w:eastAsia="仿宋_GB2312"/>
        </w:rPr>
        <w:t>门</w:t>
      </w:r>
      <w:r>
        <w:rPr>
          <w:rFonts w:hint="eastAsia" w:ascii="仿宋_GB2312" w:eastAsia="仿宋_GB2312"/>
        </w:rPr>
        <w:t>、</w:t>
      </w:r>
      <w:r>
        <w:rPr>
          <w:rFonts w:ascii="仿宋_GB2312" w:eastAsia="仿宋_GB2312"/>
        </w:rPr>
        <w:t>课程思政示范课</w:t>
      </w:r>
      <w:r>
        <w:rPr>
          <w:rFonts w:eastAsia="仿宋_GB2312"/>
        </w:rPr>
        <w:t>3</w:t>
      </w:r>
      <w:r>
        <w:rPr>
          <w:rFonts w:ascii="仿宋_GB2312" w:eastAsia="仿宋_GB2312"/>
        </w:rPr>
        <w:t>门</w:t>
      </w:r>
      <w:r>
        <w:rPr>
          <w:rFonts w:hint="eastAsia" w:ascii="仿宋_GB2312" w:eastAsia="仿宋_GB2312"/>
        </w:rPr>
        <w:t>，获省课程思政教学竞赛二等奖</w:t>
      </w:r>
      <w:r>
        <w:rPr>
          <w:rFonts w:hint="eastAsia" w:eastAsia="仿宋_GB2312"/>
        </w:rPr>
        <w:t>1</w:t>
      </w:r>
      <w:r>
        <w:rPr>
          <w:rFonts w:hint="eastAsia" w:ascii="仿宋_GB2312" w:eastAsia="仿宋_GB2312"/>
        </w:rPr>
        <w:t>项，</w:t>
      </w:r>
      <w:r>
        <w:rPr>
          <w:rFonts w:eastAsia="仿宋_GB2312"/>
        </w:rPr>
        <w:t>“</w:t>
      </w:r>
      <w:r>
        <w:rPr>
          <w:rFonts w:ascii="仿宋_GB2312" w:eastAsia="仿宋_GB2312"/>
        </w:rPr>
        <w:t>党的二十大精神融入高校思想政治理论课教学设计大赛</w:t>
      </w:r>
      <w:r>
        <w:rPr>
          <w:rFonts w:eastAsia="仿宋_GB2312"/>
        </w:rPr>
        <w:t>”</w:t>
      </w:r>
      <w:r>
        <w:rPr>
          <w:rFonts w:ascii="仿宋_GB2312" w:eastAsia="仿宋_GB2312"/>
        </w:rPr>
        <w:t>一等奖</w:t>
      </w:r>
      <w:r>
        <w:rPr>
          <w:rFonts w:eastAsia="仿宋_GB2312"/>
        </w:rPr>
        <w:t>1</w:t>
      </w:r>
      <w:r>
        <w:rPr>
          <w:rFonts w:hint="eastAsia" w:ascii="仿宋_GB2312" w:eastAsia="仿宋_GB2312"/>
        </w:rPr>
        <w:t>项</w:t>
      </w:r>
      <w:r>
        <w:rPr>
          <w:rFonts w:ascii="仿宋_GB2312" w:eastAsia="仿宋_GB2312"/>
        </w:rPr>
        <w:t>，与</w:t>
      </w:r>
      <w:r>
        <w:rPr>
          <w:rFonts w:hint="eastAsia" w:ascii="仿宋_GB2312" w:eastAsia="仿宋_GB2312"/>
        </w:rPr>
        <w:t>上海</w:t>
      </w:r>
      <w:r>
        <w:rPr>
          <w:rFonts w:ascii="仿宋_GB2312" w:eastAsia="仿宋_GB2312"/>
        </w:rPr>
        <w:t>等地</w:t>
      </w:r>
      <w:r>
        <w:rPr>
          <w:rFonts w:eastAsia="仿宋_GB2312"/>
        </w:rPr>
        <w:t>5</w:t>
      </w:r>
      <w:r>
        <w:rPr>
          <w:rFonts w:ascii="仿宋_GB2312" w:eastAsia="仿宋_GB2312"/>
        </w:rPr>
        <w:t>所高校共建中西部高校课程思政虚拟教研室，课程思政建设经验获省领导</w:t>
      </w:r>
      <w:r>
        <w:rPr>
          <w:rFonts w:eastAsia="仿宋_GB2312"/>
        </w:rPr>
        <w:t>“</w:t>
      </w:r>
      <w:r>
        <w:rPr>
          <w:rFonts w:ascii="仿宋_GB2312" w:eastAsia="仿宋_GB2312"/>
        </w:rPr>
        <w:t>有特点、有亮点、有成效、有经验</w:t>
      </w:r>
      <w:r>
        <w:rPr>
          <w:rFonts w:eastAsia="仿宋_GB2312"/>
        </w:rPr>
        <w:t>”</w:t>
      </w:r>
      <w:r>
        <w:rPr>
          <w:rFonts w:ascii="仿宋_GB2312" w:eastAsia="仿宋_GB2312"/>
        </w:rPr>
        <w:t>批示，在全省推广。</w:t>
      </w:r>
      <w:r>
        <w:rPr>
          <w:rFonts w:hint="eastAsia" w:ascii="仿宋_GB2312" w:eastAsia="仿宋_GB2312"/>
        </w:rPr>
        <w:t>连续</w:t>
      </w:r>
      <w:r>
        <w:rPr>
          <w:rFonts w:hint="eastAsia" w:eastAsia="仿宋_GB2312"/>
        </w:rPr>
        <w:t>2</w:t>
      </w:r>
      <w:r>
        <w:rPr>
          <w:rFonts w:hint="eastAsia" w:ascii="仿宋_GB2312" w:eastAsia="仿宋_GB2312"/>
        </w:rPr>
        <w:t>年获评省学生资助研究会先进单位。加强思政工作队伍建设，获评省</w:t>
      </w:r>
      <w:r>
        <w:rPr>
          <w:rFonts w:eastAsia="仿宋_GB2312"/>
        </w:rPr>
        <w:t>“</w:t>
      </w:r>
      <w:r>
        <w:rPr>
          <w:rFonts w:ascii="仿宋_GB2312" w:eastAsia="仿宋_GB2312"/>
        </w:rPr>
        <w:t>最美思政课教师</w:t>
      </w:r>
      <w:r>
        <w:rPr>
          <w:rFonts w:eastAsia="仿宋_GB2312"/>
        </w:rPr>
        <w:t>”</w:t>
      </w:r>
      <w:r>
        <w:rPr>
          <w:rFonts w:hint="eastAsia" w:eastAsia="仿宋_GB2312"/>
        </w:rPr>
        <w:t>1</w:t>
      </w:r>
      <w:r>
        <w:rPr>
          <w:rFonts w:hint="eastAsia" w:ascii="仿宋_GB2312" w:eastAsia="仿宋_GB2312"/>
        </w:rPr>
        <w:t>人、优秀育人案例</w:t>
      </w:r>
      <w:r>
        <w:rPr>
          <w:rFonts w:hint="eastAsia" w:eastAsia="仿宋_GB2312"/>
        </w:rPr>
        <w:t>1</w:t>
      </w:r>
      <w:r>
        <w:rPr>
          <w:rFonts w:hint="eastAsia" w:ascii="仿宋_GB2312" w:eastAsia="仿宋_GB2312"/>
        </w:rPr>
        <w:t>个、网络教育名师</w:t>
      </w:r>
      <w:r>
        <w:rPr>
          <w:rFonts w:hint="eastAsia" w:eastAsia="仿宋_GB2312"/>
        </w:rPr>
        <w:t>1</w:t>
      </w:r>
      <w:r>
        <w:rPr>
          <w:rFonts w:hint="eastAsia" w:ascii="仿宋_GB2312" w:eastAsia="仿宋_GB2312"/>
        </w:rPr>
        <w:t>人，</w:t>
      </w:r>
      <w:r>
        <w:rPr>
          <w:rFonts w:ascii="仿宋_GB2312" w:eastAsia="仿宋_GB2312"/>
        </w:rPr>
        <w:t>立项省</w:t>
      </w:r>
      <w:r>
        <w:rPr>
          <w:rFonts w:hint="eastAsia" w:ascii="仿宋_GB2312" w:eastAsia="仿宋_GB2312"/>
        </w:rPr>
        <w:t>各类</w:t>
      </w:r>
      <w:r>
        <w:rPr>
          <w:rFonts w:ascii="仿宋_GB2312" w:eastAsia="仿宋_GB2312"/>
        </w:rPr>
        <w:t>思政项目</w:t>
      </w:r>
      <w:r>
        <w:rPr>
          <w:rFonts w:eastAsia="仿宋_GB2312"/>
        </w:rPr>
        <w:t>8</w:t>
      </w:r>
      <w:r>
        <w:rPr>
          <w:rFonts w:ascii="仿宋_GB2312" w:eastAsia="仿宋_GB2312"/>
        </w:rPr>
        <w:t>项，获评省辅导员工作研究与实践先进单位</w:t>
      </w:r>
      <w:r>
        <w:rPr>
          <w:rFonts w:hint="eastAsia" w:ascii="仿宋_GB2312" w:eastAsia="仿宋_GB2312"/>
        </w:rPr>
        <w:t>荣誉称号。充分发挥共青团对青年的引领作用，</w:t>
      </w:r>
      <w:r>
        <w:rPr>
          <w:rFonts w:eastAsia="仿宋_GB2312"/>
        </w:rPr>
        <w:t>2</w:t>
      </w:r>
      <w:r>
        <w:rPr>
          <w:rFonts w:ascii="仿宋_GB2312" w:eastAsia="仿宋_GB2312"/>
        </w:rPr>
        <w:t>名学生获</w:t>
      </w:r>
      <w:r>
        <w:rPr>
          <w:rFonts w:eastAsia="仿宋_GB2312"/>
        </w:rPr>
        <w:t>“</w:t>
      </w:r>
      <w:r>
        <w:rPr>
          <w:rFonts w:ascii="仿宋_GB2312" w:eastAsia="仿宋_GB2312"/>
        </w:rPr>
        <w:t>中国大学生自强之星</w:t>
      </w:r>
      <w:r>
        <w:rPr>
          <w:rFonts w:eastAsia="仿宋_GB2312"/>
        </w:rPr>
        <w:t>”</w:t>
      </w:r>
      <w:r>
        <w:rPr>
          <w:rFonts w:ascii="仿宋_GB2312" w:eastAsia="仿宋_GB2312"/>
        </w:rPr>
        <w:t>荣誉称号</w:t>
      </w:r>
      <w:r>
        <w:rPr>
          <w:rFonts w:hint="eastAsia" w:ascii="仿宋_GB2312" w:eastAsia="仿宋_GB2312"/>
        </w:rPr>
        <w:t>，</w:t>
      </w:r>
      <w:r>
        <w:rPr>
          <w:rFonts w:hint="eastAsia" w:eastAsia="仿宋_GB2312"/>
        </w:rPr>
        <w:t>10</w:t>
      </w:r>
      <w:r>
        <w:rPr>
          <w:rFonts w:hint="eastAsia" w:ascii="仿宋_GB2312" w:eastAsia="仿宋_GB2312"/>
        </w:rPr>
        <w:t>个团体及个人获评省“芙蓉学子·榜样力量”优秀大学生</w:t>
      </w:r>
      <w:r>
        <w:rPr>
          <w:rFonts w:ascii="仿宋_GB2312" w:eastAsia="仿宋_GB2312"/>
        </w:rPr>
        <w:t>。</w:t>
      </w:r>
    </w:p>
    <w:p>
      <w:pPr>
        <w:autoSpaceDE w:val="0"/>
        <w:spacing w:line="540" w:lineRule="exact"/>
        <w:ind w:firstLine="640" w:firstLineChars="200"/>
        <w:rPr>
          <w:rFonts w:eastAsia="仿宋_GB2312"/>
          <w:sz w:val="32"/>
          <w:szCs w:val="32"/>
        </w:rPr>
      </w:pPr>
      <w:r>
        <w:rPr>
          <w:rFonts w:hint="eastAsia" w:eastAsia="仿宋_GB2312"/>
          <w:b/>
          <w:bCs/>
          <w:sz w:val="32"/>
          <w:szCs w:val="32"/>
        </w:rPr>
        <w:t>7</w:t>
      </w:r>
      <w:r>
        <w:rPr>
          <w:rFonts w:eastAsia="仿宋_GB2312"/>
          <w:b/>
          <w:bCs/>
          <w:sz w:val="32"/>
          <w:szCs w:val="32"/>
        </w:rPr>
        <w:t xml:space="preserve">. </w:t>
      </w:r>
      <w:r>
        <w:rPr>
          <w:rFonts w:ascii="仿宋_GB2312" w:eastAsia="仿宋_GB2312"/>
          <w:b/>
          <w:bCs/>
          <w:sz w:val="32"/>
          <w:szCs w:val="32"/>
        </w:rPr>
        <w:t>宣传统战工作优化提升。</w:t>
      </w:r>
      <w:r>
        <w:rPr>
          <w:rFonts w:hint="eastAsia" w:ascii="仿宋_GB2312" w:eastAsia="仿宋_GB2312"/>
          <w:sz w:val="32"/>
          <w:szCs w:val="32"/>
        </w:rPr>
        <w:t>深化精神文明建设，获评湖南省“文明标兵校园”。紧扣主题教育、申硕等重点工作和办学成果，在《人民日报》《中国教育报》等各类媒体发稿</w:t>
      </w:r>
      <w:r>
        <w:rPr>
          <w:rFonts w:hint="eastAsia" w:eastAsia="仿宋_GB2312"/>
          <w:sz w:val="32"/>
          <w:szCs w:val="32"/>
        </w:rPr>
        <w:t>557</w:t>
      </w:r>
      <w:r>
        <w:rPr>
          <w:rFonts w:hint="eastAsia" w:ascii="仿宋_GB2312" w:eastAsia="仿宋_GB2312"/>
          <w:sz w:val="32"/>
          <w:szCs w:val="32"/>
        </w:rPr>
        <w:t>篇，有效提升学校知名度。统一战线工作开创了新局面，获全省统战理论政策研究工作“先进单位”称号，</w:t>
      </w:r>
      <w:r>
        <w:rPr>
          <w:rFonts w:eastAsia="仿宋_GB2312"/>
          <w:sz w:val="32"/>
          <w:szCs w:val="32"/>
        </w:rPr>
        <w:t>1</w:t>
      </w:r>
      <w:r>
        <w:rPr>
          <w:rFonts w:ascii="仿宋_GB2312" w:eastAsia="仿宋_GB2312"/>
          <w:sz w:val="32"/>
          <w:szCs w:val="32"/>
        </w:rPr>
        <w:t>位校领导当选中国人民政治协商会议第十四届全国委员会委员、</w:t>
      </w:r>
      <w:r>
        <w:rPr>
          <w:rFonts w:eastAsia="仿宋_GB2312"/>
          <w:sz w:val="32"/>
          <w:szCs w:val="32"/>
        </w:rPr>
        <w:t>1</w:t>
      </w:r>
      <w:r>
        <w:rPr>
          <w:rFonts w:ascii="仿宋_GB2312" w:eastAsia="仿宋_GB2312"/>
          <w:sz w:val="32"/>
          <w:szCs w:val="32"/>
        </w:rPr>
        <w:t>位中层干部当选第十三届省政协委员，在全国、湖南省</w:t>
      </w:r>
      <w:r>
        <w:rPr>
          <w:rFonts w:hint="eastAsia" w:ascii="仿宋_GB2312" w:eastAsia="仿宋_GB2312"/>
          <w:sz w:val="32"/>
          <w:szCs w:val="32"/>
        </w:rPr>
        <w:t>“</w:t>
      </w:r>
      <w:r>
        <w:rPr>
          <w:rFonts w:ascii="仿宋_GB2312" w:eastAsia="仿宋_GB2312"/>
          <w:sz w:val="32"/>
          <w:szCs w:val="32"/>
        </w:rPr>
        <w:t>两会</w:t>
      </w:r>
      <w:r>
        <w:rPr>
          <w:rFonts w:hint="eastAsia" w:ascii="仿宋_GB2312" w:eastAsia="仿宋_GB2312"/>
          <w:sz w:val="32"/>
          <w:szCs w:val="32"/>
        </w:rPr>
        <w:t>”</w:t>
      </w:r>
      <w:r>
        <w:rPr>
          <w:rFonts w:ascii="仿宋_GB2312" w:eastAsia="仿宋_GB2312"/>
          <w:sz w:val="32"/>
          <w:szCs w:val="32"/>
        </w:rPr>
        <w:t>期间提交</w:t>
      </w:r>
      <w:r>
        <w:rPr>
          <w:rFonts w:hint="eastAsia" w:ascii="仿宋_GB2312" w:eastAsia="仿宋_GB2312"/>
          <w:sz w:val="32"/>
          <w:szCs w:val="32"/>
        </w:rPr>
        <w:t>的</w:t>
      </w:r>
      <w:r>
        <w:rPr>
          <w:rFonts w:ascii="仿宋_GB2312" w:eastAsia="仿宋_GB2312"/>
          <w:sz w:val="32"/>
          <w:szCs w:val="32"/>
        </w:rPr>
        <w:t>聚焦高等教育发展等提案，得到社会各界广泛关注。</w:t>
      </w:r>
    </w:p>
    <w:p>
      <w:pPr>
        <w:pStyle w:val="4"/>
        <w:autoSpaceDE w:val="0"/>
        <w:spacing w:before="156" w:beforeLines="50" w:after="156" w:afterLines="50" w:line="540" w:lineRule="exact"/>
        <w:ind w:firstLine="640" w:firstLineChars="200"/>
        <w:rPr>
          <w:rFonts w:ascii="楷体" w:hAnsi="楷体" w:eastAsia="楷体"/>
          <w:b/>
          <w:bCs/>
        </w:rPr>
      </w:pPr>
      <w:r>
        <w:rPr>
          <w:rFonts w:hint="eastAsia" w:ascii="楷体" w:hAnsi="楷体" w:eastAsia="楷体"/>
          <w:b/>
          <w:bCs/>
        </w:rPr>
        <w:t>（三）强化内涵建设和特色发展，人才自主培养质量持续提升</w:t>
      </w:r>
    </w:p>
    <w:p>
      <w:pPr>
        <w:autoSpaceDE w:val="0"/>
        <w:spacing w:line="540" w:lineRule="exact"/>
        <w:ind w:firstLine="640" w:firstLineChars="200"/>
        <w:rPr>
          <w:rFonts w:eastAsia="仿宋_GB2312"/>
          <w:sz w:val="32"/>
          <w:szCs w:val="32"/>
        </w:rPr>
      </w:pPr>
      <w:r>
        <w:rPr>
          <w:rFonts w:hint="eastAsia" w:eastAsia="仿宋_GB2312"/>
          <w:b/>
          <w:bCs/>
          <w:sz w:val="32"/>
          <w:szCs w:val="32"/>
        </w:rPr>
        <w:t xml:space="preserve">8. </w:t>
      </w:r>
      <w:r>
        <w:rPr>
          <w:rFonts w:hint="eastAsia" w:ascii="仿宋_GB2312" w:eastAsia="仿宋_GB2312"/>
          <w:b/>
          <w:bCs/>
          <w:sz w:val="32"/>
          <w:szCs w:val="32"/>
        </w:rPr>
        <w:t>“双一流”建设迈入加速期。</w:t>
      </w:r>
      <w:r>
        <w:rPr>
          <w:rFonts w:ascii="仿宋_GB2312" w:eastAsia="仿宋_GB2312"/>
          <w:sz w:val="32"/>
          <w:szCs w:val="32"/>
        </w:rPr>
        <w:t>工程学进入</w:t>
      </w:r>
      <w:r>
        <w:rPr>
          <w:rFonts w:eastAsia="仿宋_GB2312"/>
          <w:sz w:val="32"/>
          <w:szCs w:val="32"/>
        </w:rPr>
        <w:t>ESI</w:t>
      </w:r>
      <w:r>
        <w:rPr>
          <w:rFonts w:ascii="仿宋_GB2312" w:eastAsia="仿宋_GB2312"/>
          <w:sz w:val="32"/>
          <w:szCs w:val="32"/>
        </w:rPr>
        <w:t>全球前</w:t>
      </w:r>
      <w:r>
        <w:rPr>
          <w:rFonts w:eastAsia="仿宋_GB2312"/>
          <w:sz w:val="32"/>
          <w:szCs w:val="32"/>
        </w:rPr>
        <w:t>1%</w:t>
      </w:r>
      <w:r>
        <w:rPr>
          <w:rFonts w:ascii="仿宋_GB2312" w:eastAsia="仿宋_GB2312"/>
          <w:sz w:val="32"/>
          <w:szCs w:val="32"/>
        </w:rPr>
        <w:t>，</w:t>
      </w:r>
      <w:r>
        <w:rPr>
          <w:rFonts w:hint="eastAsia" w:ascii="仿宋_GB2312" w:eastAsia="仿宋_GB2312"/>
          <w:kern w:val="0"/>
          <w:sz w:val="32"/>
          <w:szCs w:val="32"/>
        </w:rPr>
        <w:t>4名学者入选全球前2%顶尖科学家2023榜单。</w:t>
      </w:r>
      <w:r>
        <w:rPr>
          <w:rFonts w:ascii="仿宋_GB2312" w:eastAsia="仿宋_GB2312"/>
          <w:sz w:val="32"/>
          <w:szCs w:val="32"/>
        </w:rPr>
        <w:t>动态调整校级应用特色学科，</w:t>
      </w:r>
      <w:r>
        <w:rPr>
          <w:rFonts w:hint="eastAsia" w:ascii="仿宋_GB2312" w:eastAsia="仿宋_GB2312"/>
          <w:sz w:val="32"/>
          <w:szCs w:val="32"/>
        </w:rPr>
        <w:t>新增化学工程与技术学科为高峰学科、马克思主义理论学科为领雁学科，遴选新一批学科（学术）带头人、学术骨干成员；增设新能源技术和纺织新技术</w:t>
      </w:r>
      <w:r>
        <w:rPr>
          <w:rFonts w:hint="eastAsia" w:eastAsia="仿宋_GB2312"/>
          <w:sz w:val="32"/>
          <w:szCs w:val="32"/>
        </w:rPr>
        <w:t>2</w:t>
      </w:r>
      <w:r>
        <w:rPr>
          <w:rFonts w:hint="eastAsia" w:ascii="仿宋_GB2312" w:eastAsia="仿宋_GB2312"/>
          <w:sz w:val="32"/>
          <w:szCs w:val="32"/>
        </w:rPr>
        <w:t>个学科交叉群。制定了</w:t>
      </w:r>
      <w:r>
        <w:rPr>
          <w:rFonts w:ascii="仿宋_GB2312" w:eastAsia="仿宋_GB2312"/>
          <w:sz w:val="32"/>
          <w:szCs w:val="32"/>
        </w:rPr>
        <w:t>建设有国际影响力学科提升计划，</w:t>
      </w:r>
      <w:r>
        <w:rPr>
          <w:rFonts w:hint="eastAsia" w:ascii="仿宋_GB2312" w:eastAsia="仿宋_GB2312"/>
          <w:sz w:val="32"/>
          <w:szCs w:val="32"/>
        </w:rPr>
        <w:t>着力打造特色优势学科。</w:t>
      </w:r>
    </w:p>
    <w:p>
      <w:pPr>
        <w:autoSpaceDE w:val="0"/>
        <w:spacing w:line="540" w:lineRule="exact"/>
        <w:ind w:firstLine="640" w:firstLineChars="200"/>
        <w:rPr>
          <w:rFonts w:eastAsia="仿宋_GB2312"/>
          <w:kern w:val="0"/>
          <w:sz w:val="32"/>
          <w:szCs w:val="32"/>
        </w:rPr>
      </w:pPr>
      <w:r>
        <w:rPr>
          <w:rFonts w:hint="eastAsia" w:eastAsia="仿宋_GB2312"/>
          <w:b/>
          <w:sz w:val="32"/>
          <w:szCs w:val="32"/>
        </w:rPr>
        <w:t>9</w:t>
      </w:r>
      <w:r>
        <w:rPr>
          <w:rFonts w:eastAsia="仿宋_GB2312"/>
          <w:b/>
          <w:sz w:val="32"/>
          <w:szCs w:val="32"/>
        </w:rPr>
        <w:t xml:space="preserve">. </w:t>
      </w:r>
      <w:r>
        <w:rPr>
          <w:rFonts w:ascii="仿宋_GB2312" w:eastAsia="仿宋_GB2312"/>
          <w:b/>
          <w:sz w:val="32"/>
          <w:szCs w:val="32"/>
        </w:rPr>
        <w:t>本科</w:t>
      </w:r>
      <w:r>
        <w:rPr>
          <w:rFonts w:hint="eastAsia" w:ascii="仿宋_GB2312" w:eastAsia="仿宋_GB2312"/>
          <w:b/>
          <w:sz w:val="32"/>
          <w:szCs w:val="32"/>
        </w:rPr>
        <w:t>教育</w:t>
      </w:r>
      <w:r>
        <w:rPr>
          <w:rFonts w:ascii="仿宋_GB2312" w:eastAsia="仿宋_GB2312"/>
          <w:b/>
          <w:sz w:val="32"/>
          <w:szCs w:val="32"/>
        </w:rPr>
        <w:t>取得重要进展。</w:t>
      </w:r>
      <w:r>
        <w:rPr>
          <w:rFonts w:hint="eastAsia" w:ascii="仿宋_GB2312" w:eastAsia="仿宋_GB2312"/>
          <w:kern w:val="0"/>
          <w:sz w:val="32"/>
          <w:szCs w:val="32"/>
        </w:rPr>
        <w:t>工程教育改革成果获国家级教学成果二等奖。</w:t>
      </w:r>
      <w:r>
        <w:rPr>
          <w:rFonts w:ascii="仿宋_GB2312" w:eastAsia="仿宋_GB2312"/>
          <w:kern w:val="0"/>
          <w:sz w:val="32"/>
          <w:szCs w:val="32"/>
        </w:rPr>
        <w:t>深化产教融合，</w:t>
      </w:r>
      <w:r>
        <w:rPr>
          <w:rFonts w:hint="eastAsia" w:ascii="仿宋_GB2312" w:eastAsia="仿宋_GB2312"/>
          <w:kern w:val="0"/>
          <w:sz w:val="32"/>
          <w:szCs w:val="32"/>
        </w:rPr>
        <w:t>智慧能源产业学院新增为省级现代</w:t>
      </w:r>
      <w:r>
        <w:rPr>
          <w:rFonts w:ascii="仿宋_GB2312" w:eastAsia="仿宋_GB2312"/>
          <w:kern w:val="0"/>
          <w:sz w:val="32"/>
          <w:szCs w:val="32"/>
        </w:rPr>
        <w:t>产业学院</w:t>
      </w:r>
      <w:r>
        <w:rPr>
          <w:rFonts w:hint="eastAsia" w:ascii="仿宋_GB2312" w:eastAsia="仿宋_GB2312"/>
          <w:kern w:val="0"/>
          <w:sz w:val="32"/>
          <w:szCs w:val="32"/>
        </w:rPr>
        <w:t>。强化</w:t>
      </w:r>
      <w:r>
        <w:rPr>
          <w:rFonts w:ascii="仿宋_GB2312" w:eastAsia="仿宋_GB2312"/>
          <w:kern w:val="0"/>
          <w:sz w:val="32"/>
          <w:szCs w:val="32"/>
        </w:rPr>
        <w:t>专业内涵</w:t>
      </w:r>
      <w:r>
        <w:rPr>
          <w:rFonts w:hint="eastAsia" w:ascii="仿宋_GB2312" w:eastAsia="仿宋_GB2312"/>
          <w:kern w:val="0"/>
          <w:sz w:val="32"/>
          <w:szCs w:val="32"/>
        </w:rPr>
        <w:t>建设，</w:t>
      </w:r>
      <w:r>
        <w:rPr>
          <w:rFonts w:ascii="仿宋_GB2312" w:eastAsia="仿宋_GB2312"/>
          <w:kern w:val="0"/>
          <w:sz w:val="32"/>
          <w:szCs w:val="32"/>
        </w:rPr>
        <w:t>完成校内本科专业评估，</w:t>
      </w:r>
      <w:r>
        <w:rPr>
          <w:rFonts w:hint="eastAsia" w:eastAsia="仿宋_GB2312"/>
          <w:kern w:val="0"/>
          <w:sz w:val="32"/>
          <w:szCs w:val="32"/>
        </w:rPr>
        <w:t>1</w:t>
      </w:r>
      <w:r>
        <w:rPr>
          <w:rFonts w:hint="eastAsia" w:ascii="仿宋_GB2312" w:eastAsia="仿宋_GB2312"/>
          <w:kern w:val="0"/>
          <w:sz w:val="32"/>
          <w:szCs w:val="32"/>
        </w:rPr>
        <w:t>个</w:t>
      </w:r>
      <w:r>
        <w:rPr>
          <w:rFonts w:ascii="仿宋_GB2312" w:eastAsia="仿宋_GB2312"/>
          <w:kern w:val="0"/>
          <w:sz w:val="32"/>
          <w:szCs w:val="32"/>
        </w:rPr>
        <w:t>专业通过中国工程教育专业认证</w:t>
      </w:r>
      <w:r>
        <w:rPr>
          <w:rFonts w:hint="eastAsia" w:ascii="仿宋_GB2312" w:eastAsia="仿宋_GB2312"/>
          <w:kern w:val="0"/>
          <w:sz w:val="32"/>
          <w:szCs w:val="32"/>
        </w:rPr>
        <w:t>，</w:t>
      </w:r>
      <w:r>
        <w:rPr>
          <w:rFonts w:hint="eastAsia" w:eastAsia="仿宋_GB2312"/>
          <w:kern w:val="0"/>
          <w:sz w:val="32"/>
          <w:szCs w:val="32"/>
        </w:rPr>
        <w:t>2</w:t>
      </w:r>
      <w:r>
        <w:rPr>
          <w:rFonts w:hint="eastAsia" w:ascii="仿宋_GB2312" w:eastAsia="仿宋_GB2312"/>
          <w:kern w:val="0"/>
          <w:sz w:val="32"/>
          <w:szCs w:val="32"/>
        </w:rPr>
        <w:t>个专业获认证受理。深耕课程提高质量，分析化学</w:t>
      </w:r>
      <w:r>
        <w:rPr>
          <w:rFonts w:ascii="仿宋_GB2312" w:eastAsia="仿宋_GB2312"/>
          <w:kern w:val="0"/>
          <w:sz w:val="32"/>
          <w:szCs w:val="32"/>
        </w:rPr>
        <w:t>获国家级线下一流本科课程，</w:t>
      </w:r>
      <w:r>
        <w:rPr>
          <w:rFonts w:hint="eastAsia" w:ascii="仿宋_GB2312" w:eastAsia="仿宋_GB2312"/>
          <w:kern w:val="0"/>
          <w:sz w:val="32"/>
          <w:szCs w:val="32"/>
        </w:rPr>
        <w:t>新增</w:t>
      </w:r>
      <w:r>
        <w:rPr>
          <w:rFonts w:ascii="仿宋_GB2312" w:eastAsia="仿宋_GB2312"/>
          <w:kern w:val="0"/>
          <w:sz w:val="32"/>
          <w:szCs w:val="32"/>
        </w:rPr>
        <w:t>省级精品在线开放课程</w:t>
      </w:r>
      <w:r>
        <w:rPr>
          <w:rFonts w:eastAsia="仿宋_GB2312"/>
          <w:kern w:val="0"/>
          <w:sz w:val="32"/>
          <w:szCs w:val="32"/>
        </w:rPr>
        <w:t>3</w:t>
      </w:r>
      <w:r>
        <w:rPr>
          <w:rFonts w:ascii="仿宋_GB2312" w:eastAsia="仿宋_GB2312"/>
          <w:kern w:val="0"/>
          <w:sz w:val="32"/>
          <w:szCs w:val="32"/>
        </w:rPr>
        <w:t>门</w:t>
      </w:r>
      <w:r>
        <w:rPr>
          <w:rFonts w:hint="eastAsia" w:ascii="仿宋_GB2312" w:eastAsia="仿宋_GB2312"/>
          <w:kern w:val="0"/>
          <w:sz w:val="32"/>
          <w:szCs w:val="32"/>
        </w:rPr>
        <w:t>。持续</w:t>
      </w:r>
      <w:r>
        <w:rPr>
          <w:rFonts w:ascii="仿宋_GB2312" w:eastAsia="仿宋_GB2312"/>
          <w:kern w:val="0"/>
          <w:sz w:val="32"/>
          <w:szCs w:val="32"/>
        </w:rPr>
        <w:t>推动</w:t>
      </w:r>
      <w:r>
        <w:rPr>
          <w:rFonts w:hint="eastAsia" w:ascii="仿宋_GB2312" w:eastAsia="仿宋_GB2312"/>
          <w:kern w:val="0"/>
          <w:sz w:val="32"/>
          <w:szCs w:val="32"/>
        </w:rPr>
        <w:t>教学</w:t>
      </w:r>
      <w:r>
        <w:rPr>
          <w:rFonts w:ascii="仿宋_GB2312" w:eastAsia="仿宋_GB2312"/>
          <w:kern w:val="0"/>
          <w:sz w:val="32"/>
          <w:szCs w:val="32"/>
        </w:rPr>
        <w:t>教育创新</w:t>
      </w:r>
      <w:r>
        <w:rPr>
          <w:rFonts w:hint="eastAsia" w:ascii="仿宋_GB2312" w:eastAsia="仿宋_GB2312"/>
          <w:kern w:val="0"/>
          <w:sz w:val="32"/>
          <w:szCs w:val="32"/>
        </w:rPr>
        <w:t>，获</w:t>
      </w:r>
      <w:r>
        <w:rPr>
          <w:rFonts w:ascii="仿宋_GB2312" w:eastAsia="仿宋_GB2312"/>
          <w:kern w:val="0"/>
          <w:sz w:val="32"/>
          <w:szCs w:val="32"/>
        </w:rPr>
        <w:t>湖南省教育科学研究优秀成果奖</w:t>
      </w:r>
      <w:r>
        <w:rPr>
          <w:rFonts w:hint="eastAsia" w:eastAsia="仿宋_GB2312"/>
          <w:kern w:val="0"/>
          <w:sz w:val="32"/>
          <w:szCs w:val="32"/>
        </w:rPr>
        <w:t>2</w:t>
      </w:r>
      <w:r>
        <w:rPr>
          <w:rFonts w:hint="eastAsia" w:ascii="仿宋_GB2312" w:eastAsia="仿宋_GB2312"/>
          <w:kern w:val="0"/>
          <w:sz w:val="32"/>
          <w:szCs w:val="32"/>
        </w:rPr>
        <w:t>项、</w:t>
      </w:r>
      <w:r>
        <w:rPr>
          <w:rFonts w:ascii="仿宋_GB2312" w:eastAsia="仿宋_GB2312"/>
          <w:kern w:val="0"/>
          <w:sz w:val="32"/>
          <w:szCs w:val="32"/>
        </w:rPr>
        <w:t>普通高校教师教学创新大赛奖</w:t>
      </w:r>
      <w:r>
        <w:rPr>
          <w:rFonts w:eastAsia="仿宋_GB2312"/>
          <w:kern w:val="0"/>
          <w:sz w:val="32"/>
          <w:szCs w:val="32"/>
        </w:rPr>
        <w:t>5</w:t>
      </w:r>
      <w:r>
        <w:rPr>
          <w:rFonts w:ascii="仿宋_GB2312" w:eastAsia="仿宋_GB2312"/>
          <w:kern w:val="0"/>
          <w:sz w:val="32"/>
          <w:szCs w:val="32"/>
        </w:rPr>
        <w:t>项</w:t>
      </w:r>
      <w:r>
        <w:rPr>
          <w:rFonts w:hint="eastAsia" w:ascii="仿宋_GB2312" w:eastAsia="仿宋_GB2312"/>
          <w:kern w:val="0"/>
          <w:sz w:val="32"/>
          <w:szCs w:val="32"/>
        </w:rPr>
        <w:t>、信息化教学竞赛一等奖</w:t>
      </w:r>
      <w:r>
        <w:rPr>
          <w:rFonts w:hint="eastAsia" w:eastAsia="仿宋_GB2312"/>
          <w:kern w:val="0"/>
          <w:sz w:val="32"/>
          <w:szCs w:val="32"/>
        </w:rPr>
        <w:t>3</w:t>
      </w:r>
      <w:r>
        <w:rPr>
          <w:rFonts w:hint="eastAsia" w:ascii="仿宋_GB2312" w:eastAsia="仿宋_GB2312"/>
          <w:kern w:val="0"/>
          <w:sz w:val="32"/>
          <w:szCs w:val="32"/>
        </w:rPr>
        <w:t>项。全面启动</w:t>
      </w:r>
      <w:r>
        <w:rPr>
          <w:rFonts w:ascii="仿宋_GB2312" w:eastAsia="仿宋_GB2312"/>
          <w:kern w:val="0"/>
          <w:sz w:val="32"/>
          <w:szCs w:val="32"/>
        </w:rPr>
        <w:t>本科教育教学审核评估工作</w:t>
      </w:r>
      <w:r>
        <w:rPr>
          <w:rFonts w:hint="eastAsia" w:ascii="仿宋_GB2312" w:eastAsia="仿宋_GB2312"/>
          <w:kern w:val="0"/>
          <w:sz w:val="32"/>
          <w:szCs w:val="32"/>
        </w:rPr>
        <w:t>。积极推进语言文字工作规范化达标建设。</w:t>
      </w:r>
    </w:p>
    <w:p>
      <w:pPr>
        <w:autoSpaceDE w:val="0"/>
        <w:spacing w:line="540" w:lineRule="exact"/>
        <w:ind w:firstLine="640" w:firstLineChars="200"/>
        <w:rPr>
          <w:rFonts w:eastAsia="仿宋_GB2312"/>
          <w:kern w:val="0"/>
          <w:sz w:val="32"/>
          <w:szCs w:val="32"/>
        </w:rPr>
      </w:pPr>
      <w:r>
        <w:rPr>
          <w:rFonts w:hint="eastAsia" w:eastAsia="仿宋_GB2312"/>
          <w:b/>
          <w:bCs/>
          <w:kern w:val="0"/>
          <w:sz w:val="32"/>
          <w:szCs w:val="32"/>
        </w:rPr>
        <w:t xml:space="preserve">10. </w:t>
      </w:r>
      <w:r>
        <w:rPr>
          <w:rFonts w:hint="eastAsia" w:ascii="仿宋_GB2312" w:eastAsia="仿宋_GB2312"/>
          <w:b/>
          <w:bCs/>
          <w:kern w:val="0"/>
          <w:sz w:val="32"/>
          <w:szCs w:val="32"/>
        </w:rPr>
        <w:t>研究生培养质量持续提高。</w:t>
      </w:r>
      <w:r>
        <w:rPr>
          <w:rFonts w:hint="eastAsia" w:ascii="仿宋_GB2312" w:eastAsia="仿宋_GB2312"/>
          <w:kern w:val="0"/>
          <w:sz w:val="32"/>
          <w:szCs w:val="32"/>
        </w:rPr>
        <w:t>研究生培养体系日趋完善，学生科研创新意识与能力不断加强，实践创新型人才的培养质量进一步提高。研究生发表论文</w:t>
      </w:r>
      <w:r>
        <w:rPr>
          <w:rFonts w:hint="eastAsia" w:eastAsia="仿宋_GB2312"/>
          <w:kern w:val="0"/>
          <w:sz w:val="32"/>
          <w:szCs w:val="32"/>
        </w:rPr>
        <w:t>53</w:t>
      </w:r>
      <w:r>
        <w:rPr>
          <w:rFonts w:hint="eastAsia" w:ascii="仿宋_GB2312" w:eastAsia="仿宋_GB2312"/>
          <w:kern w:val="0"/>
          <w:sz w:val="32"/>
          <w:szCs w:val="32"/>
        </w:rPr>
        <w:t>篇，授权发明专利</w:t>
      </w:r>
      <w:r>
        <w:rPr>
          <w:rFonts w:hint="eastAsia" w:eastAsia="仿宋_GB2312"/>
          <w:kern w:val="0"/>
          <w:sz w:val="32"/>
          <w:szCs w:val="32"/>
        </w:rPr>
        <w:t>10</w:t>
      </w:r>
      <w:r>
        <w:rPr>
          <w:rFonts w:hint="eastAsia" w:ascii="仿宋_GB2312" w:eastAsia="仿宋_GB2312"/>
          <w:kern w:val="0"/>
          <w:sz w:val="32"/>
          <w:szCs w:val="32"/>
        </w:rPr>
        <w:t>项、实用新型专利</w:t>
      </w:r>
      <w:r>
        <w:rPr>
          <w:rFonts w:hint="eastAsia" w:eastAsia="仿宋_GB2312"/>
          <w:kern w:val="0"/>
          <w:sz w:val="32"/>
          <w:szCs w:val="32"/>
        </w:rPr>
        <w:t>9</w:t>
      </w:r>
      <w:r>
        <w:rPr>
          <w:rFonts w:hint="eastAsia" w:ascii="仿宋_GB2312" w:eastAsia="仿宋_GB2312"/>
          <w:kern w:val="0"/>
          <w:sz w:val="32"/>
          <w:szCs w:val="32"/>
        </w:rPr>
        <w:t>项，新增省级研究生科技创新一般项目</w:t>
      </w:r>
      <w:r>
        <w:rPr>
          <w:rFonts w:hint="eastAsia" w:eastAsia="仿宋_GB2312"/>
          <w:kern w:val="0"/>
          <w:sz w:val="32"/>
          <w:szCs w:val="32"/>
        </w:rPr>
        <w:t>14</w:t>
      </w:r>
      <w:r>
        <w:rPr>
          <w:rFonts w:hint="eastAsia" w:ascii="仿宋_GB2312" w:eastAsia="仿宋_GB2312"/>
          <w:kern w:val="0"/>
          <w:sz w:val="32"/>
          <w:szCs w:val="32"/>
        </w:rPr>
        <w:t>项，</w:t>
      </w:r>
      <w:r>
        <w:rPr>
          <w:rFonts w:hint="eastAsia" w:eastAsia="仿宋_GB2312"/>
          <w:kern w:val="0"/>
          <w:sz w:val="32"/>
          <w:szCs w:val="32"/>
        </w:rPr>
        <w:t>2</w:t>
      </w:r>
      <w:r>
        <w:rPr>
          <w:rFonts w:hint="eastAsia" w:ascii="仿宋_GB2312" w:eastAsia="仿宋_GB2312"/>
          <w:kern w:val="0"/>
          <w:sz w:val="32"/>
          <w:szCs w:val="32"/>
        </w:rPr>
        <w:t>人获评湖南省优秀毕业生。获首届省研究生课程思政课堂教学大赛一等奖</w:t>
      </w:r>
      <w:r>
        <w:rPr>
          <w:rFonts w:hint="eastAsia" w:eastAsia="仿宋_GB2312"/>
          <w:kern w:val="0"/>
          <w:sz w:val="32"/>
          <w:szCs w:val="32"/>
        </w:rPr>
        <w:t>1</w:t>
      </w:r>
      <w:r>
        <w:rPr>
          <w:rFonts w:hint="eastAsia" w:ascii="仿宋_GB2312" w:eastAsia="仿宋_GB2312"/>
          <w:kern w:val="0"/>
          <w:sz w:val="32"/>
          <w:szCs w:val="32"/>
        </w:rPr>
        <w:t>项、三等奖</w:t>
      </w:r>
      <w:r>
        <w:rPr>
          <w:rFonts w:hint="eastAsia" w:eastAsia="仿宋_GB2312"/>
          <w:kern w:val="0"/>
          <w:sz w:val="32"/>
          <w:szCs w:val="32"/>
        </w:rPr>
        <w:t>3</w:t>
      </w:r>
      <w:r>
        <w:rPr>
          <w:rFonts w:hint="eastAsia" w:ascii="仿宋_GB2312" w:eastAsia="仿宋_GB2312"/>
          <w:kern w:val="0"/>
          <w:sz w:val="32"/>
          <w:szCs w:val="32"/>
        </w:rPr>
        <w:t>项，在省同类院校中率先突破。</w:t>
      </w:r>
    </w:p>
    <w:p>
      <w:pPr>
        <w:widowControl/>
        <w:autoSpaceDE w:val="0"/>
        <w:spacing w:line="540" w:lineRule="exact"/>
        <w:ind w:firstLine="640" w:firstLineChars="200"/>
        <w:rPr>
          <w:rFonts w:eastAsia="仿宋_GB2312"/>
          <w:sz w:val="32"/>
          <w:szCs w:val="32"/>
        </w:rPr>
      </w:pPr>
      <w:r>
        <w:rPr>
          <w:rFonts w:hint="eastAsia" w:eastAsia="仿宋_GB2312"/>
          <w:b/>
          <w:sz w:val="32"/>
          <w:szCs w:val="32"/>
        </w:rPr>
        <w:t>11</w:t>
      </w:r>
      <w:r>
        <w:rPr>
          <w:rFonts w:eastAsia="仿宋_GB2312"/>
          <w:b/>
          <w:sz w:val="32"/>
          <w:szCs w:val="32"/>
        </w:rPr>
        <w:t xml:space="preserve">. </w:t>
      </w:r>
      <w:r>
        <w:rPr>
          <w:rFonts w:ascii="仿宋_GB2312" w:eastAsia="仿宋_GB2312"/>
          <w:b/>
          <w:sz w:val="32"/>
          <w:szCs w:val="32"/>
        </w:rPr>
        <w:t>招生就业工作抓实抓细。</w:t>
      </w:r>
      <w:r>
        <w:rPr>
          <w:rFonts w:ascii="仿宋_GB2312" w:eastAsia="仿宋_GB2312"/>
          <w:bCs/>
          <w:sz w:val="32"/>
          <w:szCs w:val="32"/>
        </w:rPr>
        <w:t>新增招生专业</w:t>
      </w:r>
      <w:r>
        <w:rPr>
          <w:rFonts w:eastAsia="仿宋_GB2312"/>
          <w:bCs/>
          <w:sz w:val="32"/>
          <w:szCs w:val="32"/>
        </w:rPr>
        <w:t>1</w:t>
      </w:r>
      <w:r>
        <w:rPr>
          <w:rFonts w:ascii="仿宋_GB2312" w:eastAsia="仿宋_GB2312"/>
          <w:bCs/>
          <w:sz w:val="32"/>
          <w:szCs w:val="32"/>
        </w:rPr>
        <w:t>个、招生类型</w:t>
      </w:r>
      <w:r>
        <w:rPr>
          <w:rFonts w:eastAsia="仿宋_GB2312"/>
          <w:bCs/>
          <w:sz w:val="32"/>
          <w:szCs w:val="32"/>
        </w:rPr>
        <w:t>1</w:t>
      </w:r>
      <w:r>
        <w:rPr>
          <w:rFonts w:ascii="仿宋_GB2312" w:eastAsia="仿宋_GB2312"/>
          <w:bCs/>
          <w:sz w:val="32"/>
          <w:szCs w:val="32"/>
        </w:rPr>
        <w:t>个，</w:t>
      </w:r>
      <w:r>
        <w:rPr>
          <w:rFonts w:hint="eastAsia" w:ascii="仿宋_GB2312" w:eastAsia="仿宋_GB2312"/>
          <w:bCs/>
          <w:sz w:val="32"/>
          <w:szCs w:val="32"/>
        </w:rPr>
        <w:t>完成</w:t>
      </w:r>
      <w:r>
        <w:rPr>
          <w:rFonts w:eastAsia="仿宋_GB2312"/>
          <w:bCs/>
          <w:sz w:val="32"/>
          <w:szCs w:val="32"/>
        </w:rPr>
        <w:t>“</w:t>
      </w:r>
      <w:r>
        <w:rPr>
          <w:rFonts w:ascii="仿宋_GB2312" w:eastAsia="仿宋_GB2312"/>
          <w:bCs/>
          <w:sz w:val="32"/>
          <w:szCs w:val="32"/>
        </w:rPr>
        <w:t>楚怡工匠计划</w:t>
      </w:r>
      <w:r>
        <w:rPr>
          <w:rFonts w:eastAsia="仿宋_GB2312"/>
          <w:bCs/>
          <w:sz w:val="32"/>
          <w:szCs w:val="32"/>
        </w:rPr>
        <w:t>”</w:t>
      </w:r>
      <w:r>
        <w:rPr>
          <w:rFonts w:ascii="仿宋_GB2312" w:eastAsia="仿宋_GB2312"/>
          <w:bCs/>
          <w:sz w:val="32"/>
          <w:szCs w:val="32"/>
        </w:rPr>
        <w:t>招生计划。</w:t>
      </w:r>
      <w:r>
        <w:rPr>
          <w:rFonts w:hint="eastAsia" w:ascii="仿宋_GB2312" w:eastAsia="仿宋_GB2312"/>
          <w:bCs/>
          <w:sz w:val="32"/>
          <w:szCs w:val="32"/>
        </w:rPr>
        <w:t>全力为</w:t>
      </w:r>
      <w:r>
        <w:rPr>
          <w:rFonts w:hint="eastAsia" w:eastAsia="仿宋_GB2312"/>
          <w:bCs/>
          <w:sz w:val="32"/>
          <w:szCs w:val="32"/>
        </w:rPr>
        <w:t>2023</w:t>
      </w:r>
      <w:r>
        <w:rPr>
          <w:rFonts w:hint="eastAsia" w:ascii="仿宋_GB2312" w:eastAsia="仿宋_GB2312"/>
          <w:bCs/>
          <w:sz w:val="32"/>
          <w:szCs w:val="32"/>
        </w:rPr>
        <w:t>届</w:t>
      </w:r>
      <w:r>
        <w:rPr>
          <w:rFonts w:ascii="仿宋_GB2312" w:eastAsia="仿宋_GB2312"/>
          <w:bCs/>
          <w:sz w:val="32"/>
          <w:szCs w:val="32"/>
        </w:rPr>
        <w:t>保岗拓岗扩大岗位供给，校领导带队访企拓岗，累计走访企业</w:t>
      </w:r>
      <w:r>
        <w:rPr>
          <w:rFonts w:eastAsia="仿宋_GB2312"/>
          <w:bCs/>
          <w:sz w:val="32"/>
          <w:szCs w:val="32"/>
        </w:rPr>
        <w:t>1</w:t>
      </w:r>
      <w:r>
        <w:rPr>
          <w:rFonts w:hint="eastAsia" w:eastAsia="仿宋_GB2312"/>
          <w:bCs/>
          <w:sz w:val="32"/>
          <w:szCs w:val="32"/>
        </w:rPr>
        <w:t>87</w:t>
      </w:r>
      <w:r>
        <w:rPr>
          <w:rFonts w:ascii="仿宋_GB2312" w:eastAsia="仿宋_GB2312"/>
          <w:bCs/>
          <w:sz w:val="32"/>
          <w:szCs w:val="32"/>
        </w:rPr>
        <w:t>家，拓岗</w:t>
      </w:r>
      <w:r>
        <w:rPr>
          <w:rFonts w:hint="eastAsia" w:eastAsia="仿宋_GB2312"/>
          <w:bCs/>
          <w:sz w:val="32"/>
          <w:szCs w:val="32"/>
        </w:rPr>
        <w:t>1500</w:t>
      </w:r>
      <w:r>
        <w:rPr>
          <w:rFonts w:ascii="仿宋_GB2312" w:eastAsia="仿宋_GB2312"/>
          <w:bCs/>
          <w:sz w:val="32"/>
          <w:szCs w:val="32"/>
        </w:rPr>
        <w:t>余个。举办线上线下各类招聘</w:t>
      </w:r>
      <w:r>
        <w:rPr>
          <w:rFonts w:ascii="仿宋_GB2312" w:eastAsia="仿宋_GB2312"/>
          <w:sz w:val="32"/>
          <w:szCs w:val="32"/>
        </w:rPr>
        <w:t>会</w:t>
      </w:r>
      <w:r>
        <w:rPr>
          <w:rFonts w:hint="eastAsia" w:eastAsia="仿宋_GB2312"/>
          <w:sz w:val="32"/>
          <w:szCs w:val="32"/>
        </w:rPr>
        <w:t>226</w:t>
      </w:r>
      <w:r>
        <w:rPr>
          <w:rFonts w:ascii="仿宋_GB2312" w:eastAsia="仿宋_GB2312"/>
          <w:sz w:val="32"/>
          <w:szCs w:val="32"/>
        </w:rPr>
        <w:t>场</w:t>
      </w:r>
      <w:r>
        <w:rPr>
          <w:rFonts w:hint="eastAsia" w:ascii="仿宋_GB2312" w:eastAsia="仿宋_GB2312"/>
          <w:sz w:val="32"/>
          <w:szCs w:val="32"/>
        </w:rPr>
        <w:t>，</w:t>
      </w:r>
      <w:r>
        <w:rPr>
          <w:rFonts w:ascii="仿宋_GB2312" w:eastAsia="仿宋_GB2312"/>
          <w:sz w:val="32"/>
          <w:szCs w:val="32"/>
        </w:rPr>
        <w:t>参会企业</w:t>
      </w:r>
      <w:r>
        <w:rPr>
          <w:rFonts w:eastAsia="仿宋_GB2312"/>
          <w:sz w:val="32"/>
          <w:szCs w:val="32"/>
        </w:rPr>
        <w:t>2385</w:t>
      </w:r>
      <w:r>
        <w:rPr>
          <w:rFonts w:ascii="仿宋_GB2312" w:eastAsia="仿宋_GB2312"/>
          <w:sz w:val="32"/>
          <w:szCs w:val="32"/>
        </w:rPr>
        <w:t>家</w:t>
      </w:r>
      <w:r>
        <w:rPr>
          <w:rFonts w:hint="eastAsia" w:ascii="仿宋_GB2312" w:eastAsia="仿宋_GB2312"/>
          <w:sz w:val="32"/>
          <w:szCs w:val="32"/>
        </w:rPr>
        <w:t>。</w:t>
      </w:r>
      <w:r>
        <w:rPr>
          <w:rFonts w:ascii="仿宋_GB2312" w:eastAsia="仿宋_GB2312"/>
          <w:sz w:val="32"/>
          <w:szCs w:val="32"/>
        </w:rPr>
        <w:t>有就业意愿的</w:t>
      </w:r>
      <w:r>
        <w:rPr>
          <w:rFonts w:hint="eastAsia" w:ascii="仿宋_GB2312" w:eastAsia="仿宋_GB2312"/>
          <w:sz w:val="32"/>
          <w:szCs w:val="32"/>
        </w:rPr>
        <w:t>困难学生</w:t>
      </w:r>
      <w:r>
        <w:rPr>
          <w:rFonts w:eastAsia="仿宋_GB2312"/>
          <w:sz w:val="32"/>
          <w:szCs w:val="32"/>
        </w:rPr>
        <w:t>100%</w:t>
      </w:r>
      <w:r>
        <w:rPr>
          <w:rFonts w:hint="eastAsia" w:ascii="仿宋_GB2312" w:eastAsia="仿宋_GB2312"/>
          <w:sz w:val="32"/>
          <w:szCs w:val="32"/>
        </w:rPr>
        <w:t>实现</w:t>
      </w:r>
      <w:r>
        <w:rPr>
          <w:rFonts w:ascii="仿宋_GB2312" w:eastAsia="仿宋_GB2312"/>
          <w:sz w:val="32"/>
          <w:szCs w:val="32"/>
        </w:rPr>
        <w:t>就业</w:t>
      </w:r>
      <w:r>
        <w:rPr>
          <w:rFonts w:hint="eastAsia" w:ascii="仿宋_GB2312" w:eastAsia="仿宋_GB2312"/>
          <w:sz w:val="32"/>
          <w:szCs w:val="32"/>
        </w:rPr>
        <w:t>，</w:t>
      </w:r>
      <w:r>
        <w:rPr>
          <w:rFonts w:eastAsia="仿宋_GB2312"/>
          <w:sz w:val="32"/>
          <w:szCs w:val="32"/>
        </w:rPr>
        <w:t>202</w:t>
      </w:r>
      <w:r>
        <w:rPr>
          <w:rFonts w:hint="eastAsia" w:eastAsia="仿宋_GB2312"/>
          <w:sz w:val="32"/>
          <w:szCs w:val="32"/>
        </w:rPr>
        <w:t>3</w:t>
      </w:r>
      <w:r>
        <w:rPr>
          <w:rFonts w:ascii="仿宋_GB2312" w:eastAsia="仿宋_GB2312"/>
          <w:sz w:val="32"/>
          <w:szCs w:val="32"/>
        </w:rPr>
        <w:t>届</w:t>
      </w:r>
      <w:r>
        <w:rPr>
          <w:rFonts w:hint="eastAsia" w:ascii="仿宋_GB2312" w:eastAsia="仿宋_GB2312"/>
          <w:sz w:val="32"/>
          <w:szCs w:val="32"/>
        </w:rPr>
        <w:t>毕业生初次毕业</w:t>
      </w:r>
      <w:r>
        <w:rPr>
          <w:rFonts w:ascii="仿宋_GB2312" w:eastAsia="仿宋_GB2312"/>
          <w:sz w:val="32"/>
          <w:szCs w:val="32"/>
        </w:rPr>
        <w:t>去向落实率</w:t>
      </w:r>
      <w:r>
        <w:rPr>
          <w:rFonts w:eastAsia="仿宋_GB2312"/>
          <w:sz w:val="32"/>
          <w:szCs w:val="32"/>
        </w:rPr>
        <w:t>87.62%</w:t>
      </w:r>
      <w:r>
        <w:rPr>
          <w:rFonts w:ascii="仿宋_GB2312" w:eastAsia="仿宋_GB2312"/>
          <w:sz w:val="32"/>
          <w:szCs w:val="32"/>
        </w:rPr>
        <w:t>，高于全省平均水平</w:t>
      </w:r>
      <w:r>
        <w:rPr>
          <w:rFonts w:hint="eastAsia" w:ascii="仿宋_GB2312" w:eastAsia="仿宋_GB2312"/>
          <w:sz w:val="32"/>
          <w:szCs w:val="32"/>
        </w:rPr>
        <w:t>，</w:t>
      </w:r>
      <w:r>
        <w:rPr>
          <w:rFonts w:ascii="仿宋_GB2312" w:eastAsia="仿宋_GB2312"/>
          <w:sz w:val="32"/>
          <w:szCs w:val="32"/>
        </w:rPr>
        <w:t>获评</w:t>
      </w:r>
      <w:r>
        <w:rPr>
          <w:rFonts w:hint="eastAsia" w:eastAsia="仿宋_GB2312"/>
          <w:sz w:val="32"/>
          <w:szCs w:val="32"/>
        </w:rPr>
        <w:t>2022</w:t>
      </w:r>
      <w:r>
        <w:rPr>
          <w:rFonts w:hint="eastAsia" w:ascii="仿宋_GB2312" w:eastAsia="仿宋_GB2312"/>
          <w:sz w:val="32"/>
          <w:szCs w:val="32"/>
        </w:rPr>
        <w:t>年度</w:t>
      </w:r>
      <w:r>
        <w:rPr>
          <w:rFonts w:ascii="仿宋_GB2312" w:eastAsia="仿宋_GB2312"/>
          <w:sz w:val="32"/>
          <w:szCs w:val="32"/>
        </w:rPr>
        <w:t>湖南省普通高校就业创业工作</w:t>
      </w:r>
      <w:r>
        <w:rPr>
          <w:rFonts w:eastAsia="仿宋_GB2312"/>
          <w:sz w:val="32"/>
          <w:szCs w:val="32"/>
        </w:rPr>
        <w:t>“</w:t>
      </w:r>
      <w:r>
        <w:rPr>
          <w:rFonts w:ascii="仿宋_GB2312" w:eastAsia="仿宋_GB2312"/>
          <w:sz w:val="32"/>
          <w:szCs w:val="32"/>
        </w:rPr>
        <w:t>一把手工程</w:t>
      </w:r>
      <w:r>
        <w:rPr>
          <w:rFonts w:eastAsia="仿宋_GB2312"/>
          <w:sz w:val="32"/>
          <w:szCs w:val="32"/>
        </w:rPr>
        <w:t>”</w:t>
      </w:r>
      <w:r>
        <w:rPr>
          <w:rFonts w:ascii="仿宋_GB2312" w:eastAsia="仿宋_GB2312"/>
          <w:sz w:val="32"/>
          <w:szCs w:val="32"/>
        </w:rPr>
        <w:t>优秀单位</w:t>
      </w:r>
      <w:r>
        <w:rPr>
          <w:rFonts w:hint="eastAsia" w:ascii="仿宋_GB2312" w:eastAsia="仿宋_GB2312"/>
          <w:sz w:val="32"/>
          <w:szCs w:val="32"/>
        </w:rPr>
        <w:t>、</w:t>
      </w:r>
      <w:r>
        <w:rPr>
          <w:rFonts w:ascii="仿宋_GB2312" w:eastAsia="仿宋_GB2312"/>
          <w:sz w:val="32"/>
          <w:szCs w:val="32"/>
        </w:rPr>
        <w:t>湘潭市高校毕业生就业工作评估一等奖及留潭就业工作先进单位荣誉称号。</w:t>
      </w:r>
    </w:p>
    <w:p>
      <w:pPr>
        <w:autoSpaceDE w:val="0"/>
        <w:spacing w:line="540" w:lineRule="exact"/>
        <w:ind w:firstLine="640" w:firstLineChars="200"/>
        <w:rPr>
          <w:rFonts w:eastAsia="仿宋_GB2312"/>
          <w:kern w:val="0"/>
          <w:sz w:val="32"/>
          <w:szCs w:val="32"/>
        </w:rPr>
      </w:pPr>
      <w:r>
        <w:rPr>
          <w:rFonts w:hint="eastAsia" w:eastAsia="仿宋_GB2312"/>
          <w:b/>
          <w:sz w:val="32"/>
          <w:szCs w:val="32"/>
        </w:rPr>
        <w:t>12</w:t>
      </w:r>
      <w:r>
        <w:rPr>
          <w:rFonts w:eastAsia="仿宋_GB2312"/>
          <w:b/>
          <w:sz w:val="32"/>
          <w:szCs w:val="32"/>
        </w:rPr>
        <w:t xml:space="preserve">. </w:t>
      </w:r>
      <w:r>
        <w:rPr>
          <w:rFonts w:ascii="仿宋_GB2312" w:eastAsia="仿宋_GB2312"/>
          <w:b/>
          <w:sz w:val="32"/>
          <w:szCs w:val="32"/>
        </w:rPr>
        <w:t>有组织科研创新能力不断增强。</w:t>
      </w:r>
      <w:r>
        <w:rPr>
          <w:rFonts w:hint="eastAsia" w:ascii="仿宋_GB2312" w:eastAsia="仿宋_GB2312"/>
          <w:kern w:val="0"/>
          <w:sz w:val="32"/>
          <w:szCs w:val="32"/>
        </w:rPr>
        <w:t>成为“海上风力发电装备与风能高效利用全国重点实验室”共建单位，</w:t>
      </w:r>
      <w:r>
        <w:rPr>
          <w:rFonts w:hint="eastAsia" w:ascii="仿宋_GB2312" w:eastAsia="仿宋_GB2312"/>
          <w:sz w:val="32"/>
          <w:szCs w:val="32"/>
        </w:rPr>
        <w:t>关于湖南省制造业转型升级的</w:t>
      </w:r>
      <w:r>
        <w:rPr>
          <w:rFonts w:hint="eastAsia" w:eastAsia="仿宋_GB2312"/>
          <w:sz w:val="32"/>
          <w:szCs w:val="32"/>
        </w:rPr>
        <w:t>2</w:t>
      </w:r>
      <w:r>
        <w:rPr>
          <w:rFonts w:hint="eastAsia" w:ascii="仿宋_GB2312" w:eastAsia="仿宋_GB2312"/>
          <w:sz w:val="32"/>
          <w:szCs w:val="32"/>
        </w:rPr>
        <w:t>篇理论文章分别获省委书记、省长肯定性批示，</w:t>
      </w:r>
      <w:r>
        <w:rPr>
          <w:rFonts w:hint="eastAsia" w:eastAsia="仿宋_GB2312"/>
          <w:sz w:val="32"/>
          <w:szCs w:val="32"/>
        </w:rPr>
        <w:t>1</w:t>
      </w:r>
      <w:r>
        <w:rPr>
          <w:rFonts w:hint="eastAsia" w:ascii="仿宋_GB2312" w:eastAsia="仿宋_GB2312"/>
          <w:sz w:val="32"/>
          <w:szCs w:val="32"/>
        </w:rPr>
        <w:t>个“金点子”纳入</w:t>
      </w:r>
      <w:r>
        <w:rPr>
          <w:rFonts w:hint="eastAsia" w:eastAsia="仿宋_GB2312"/>
          <w:sz w:val="32"/>
          <w:szCs w:val="32"/>
        </w:rPr>
        <w:t>2023</w:t>
      </w:r>
      <w:r>
        <w:rPr>
          <w:rFonts w:hint="eastAsia" w:ascii="仿宋_GB2312" w:eastAsia="仿宋_GB2312"/>
          <w:sz w:val="32"/>
          <w:szCs w:val="32"/>
        </w:rPr>
        <w:t>年省政府工作报告。新增国家级、省级项目</w:t>
      </w:r>
      <w:r>
        <w:rPr>
          <w:rFonts w:hint="eastAsia" w:eastAsia="仿宋_GB2312"/>
          <w:sz w:val="32"/>
          <w:szCs w:val="32"/>
        </w:rPr>
        <w:t>79</w:t>
      </w:r>
      <w:r>
        <w:rPr>
          <w:rFonts w:hint="eastAsia" w:ascii="仿宋_GB2312" w:eastAsia="仿宋_GB2312"/>
          <w:sz w:val="32"/>
          <w:szCs w:val="32"/>
        </w:rPr>
        <w:t>项。新增省级科研平台</w:t>
      </w:r>
      <w:r>
        <w:rPr>
          <w:rFonts w:hint="eastAsia" w:eastAsia="仿宋_GB2312"/>
          <w:sz w:val="32"/>
          <w:szCs w:val="32"/>
        </w:rPr>
        <w:t>10</w:t>
      </w:r>
      <w:r>
        <w:rPr>
          <w:rFonts w:hint="eastAsia" w:ascii="仿宋_GB2312" w:eastAsia="仿宋_GB2312"/>
          <w:sz w:val="32"/>
          <w:szCs w:val="32"/>
        </w:rPr>
        <w:t>个，实现省级应用特色学科全覆盖，立项数量创新高。在成果转化上主动作为，专利转让</w:t>
      </w:r>
      <w:r>
        <w:rPr>
          <w:rFonts w:hint="eastAsia" w:eastAsia="仿宋_GB2312"/>
          <w:sz w:val="32"/>
          <w:szCs w:val="32"/>
        </w:rPr>
        <w:t>32</w:t>
      </w:r>
      <w:r>
        <w:rPr>
          <w:rFonts w:hint="eastAsia" w:ascii="仿宋_GB2312" w:eastAsia="仿宋_GB2312"/>
          <w:sz w:val="32"/>
          <w:szCs w:val="32"/>
        </w:rPr>
        <w:t>件，专利许可</w:t>
      </w:r>
      <w:r>
        <w:rPr>
          <w:rFonts w:hint="eastAsia" w:eastAsia="仿宋_GB2312"/>
          <w:sz w:val="32"/>
          <w:szCs w:val="32"/>
        </w:rPr>
        <w:t>68</w:t>
      </w:r>
      <w:r>
        <w:rPr>
          <w:rFonts w:hint="eastAsia" w:ascii="仿宋_GB2312" w:eastAsia="仿宋_GB2312"/>
          <w:sz w:val="32"/>
          <w:szCs w:val="32"/>
        </w:rPr>
        <w:t>件，同比增长</w:t>
      </w:r>
      <w:r>
        <w:rPr>
          <w:rFonts w:hint="eastAsia" w:eastAsia="仿宋_GB2312"/>
          <w:sz w:val="32"/>
          <w:szCs w:val="32"/>
        </w:rPr>
        <w:t>45%</w:t>
      </w:r>
      <w:r>
        <w:rPr>
          <w:rFonts w:hint="eastAsia" w:ascii="仿宋_GB2312" w:eastAsia="仿宋_GB2312"/>
          <w:sz w:val="32"/>
          <w:szCs w:val="32"/>
        </w:rPr>
        <w:t>，获批首批湖南省科技成果转化中试基地，获</w:t>
      </w:r>
      <w:r>
        <w:rPr>
          <w:rFonts w:hint="eastAsia" w:eastAsia="仿宋_GB2312"/>
          <w:sz w:val="32"/>
          <w:szCs w:val="32"/>
        </w:rPr>
        <w:t>2023</w:t>
      </w:r>
      <w:r>
        <w:rPr>
          <w:rFonts w:hint="eastAsia" w:ascii="仿宋_GB2312" w:eastAsia="仿宋_GB2312"/>
          <w:sz w:val="32"/>
          <w:szCs w:val="32"/>
        </w:rPr>
        <w:t>年度湖南省技术转移示范机构授牌。与产业链龙头企业合作获批湖南省创新联合体，</w:t>
      </w:r>
      <w:r>
        <w:rPr>
          <w:rFonts w:ascii="仿宋_GB2312" w:eastAsia="仿宋_GB2312"/>
          <w:sz w:val="32"/>
          <w:szCs w:val="32"/>
        </w:rPr>
        <w:t>持续推进</w:t>
      </w:r>
      <w:r>
        <w:rPr>
          <w:rFonts w:hint="eastAsia" w:ascii="仿宋_GB2312" w:eastAsia="仿宋_GB2312"/>
          <w:sz w:val="32"/>
          <w:szCs w:val="32"/>
        </w:rPr>
        <w:t>“</w:t>
      </w:r>
      <w:r>
        <w:rPr>
          <w:rFonts w:ascii="仿宋_GB2312" w:eastAsia="仿宋_GB2312"/>
          <w:sz w:val="32"/>
          <w:szCs w:val="32"/>
        </w:rPr>
        <w:t>百名博士入企业</w:t>
      </w:r>
      <w:r>
        <w:rPr>
          <w:rFonts w:hint="eastAsia" w:ascii="仿宋_GB2312" w:eastAsia="仿宋_GB2312"/>
          <w:sz w:val="32"/>
          <w:szCs w:val="32"/>
        </w:rPr>
        <w:t>”</w:t>
      </w:r>
      <w:r>
        <w:rPr>
          <w:rFonts w:ascii="仿宋_GB2312" w:eastAsia="仿宋_GB2312"/>
          <w:sz w:val="32"/>
          <w:szCs w:val="32"/>
        </w:rPr>
        <w:t>，</w:t>
      </w:r>
      <w:r>
        <w:rPr>
          <w:rFonts w:hint="eastAsia" w:ascii="仿宋_GB2312" w:eastAsia="仿宋_GB2312"/>
          <w:sz w:val="32"/>
          <w:szCs w:val="32"/>
        </w:rPr>
        <w:t>选送</w:t>
      </w:r>
      <w:r>
        <w:rPr>
          <w:rFonts w:hint="eastAsia" w:eastAsia="仿宋_GB2312"/>
          <w:sz w:val="32"/>
          <w:szCs w:val="32"/>
        </w:rPr>
        <w:t>17</w:t>
      </w:r>
      <w:r>
        <w:rPr>
          <w:rFonts w:hint="eastAsia" w:ascii="仿宋_GB2312" w:eastAsia="仿宋_GB2312"/>
          <w:sz w:val="32"/>
          <w:szCs w:val="32"/>
        </w:rPr>
        <w:t>名博士入企业</w:t>
      </w:r>
      <w:r>
        <w:rPr>
          <w:rFonts w:ascii="仿宋_GB2312" w:eastAsia="仿宋_GB2312"/>
          <w:sz w:val="32"/>
          <w:szCs w:val="32"/>
        </w:rPr>
        <w:t>，</w:t>
      </w:r>
      <w:r>
        <w:rPr>
          <w:rFonts w:hint="eastAsia" w:ascii="仿宋_GB2312" w:eastAsia="仿宋_GB2312"/>
          <w:sz w:val="32"/>
          <w:szCs w:val="32"/>
        </w:rPr>
        <w:t>有效解决在湘在潭企业“卡脖子”技术难题</w:t>
      </w:r>
      <w:r>
        <w:rPr>
          <w:rFonts w:ascii="仿宋_GB2312" w:eastAsia="仿宋_GB2312"/>
          <w:sz w:val="32"/>
          <w:szCs w:val="32"/>
        </w:rPr>
        <w:t>。</w:t>
      </w:r>
    </w:p>
    <w:p>
      <w:pPr>
        <w:autoSpaceDE w:val="0"/>
        <w:spacing w:line="540" w:lineRule="exact"/>
        <w:ind w:firstLine="640" w:firstLineChars="200"/>
        <w:rPr>
          <w:rFonts w:eastAsia="仿宋_GB2312" w:cs="Calibri"/>
          <w:sz w:val="32"/>
          <w:szCs w:val="32"/>
        </w:rPr>
      </w:pPr>
      <w:r>
        <w:rPr>
          <w:rFonts w:hint="eastAsia" w:eastAsia="仿宋_GB2312"/>
          <w:b/>
          <w:bCs/>
          <w:sz w:val="32"/>
          <w:szCs w:val="32"/>
        </w:rPr>
        <w:t>13</w:t>
      </w:r>
      <w:r>
        <w:rPr>
          <w:rFonts w:eastAsia="仿宋_GB2312"/>
          <w:b/>
          <w:bCs/>
          <w:sz w:val="32"/>
          <w:szCs w:val="32"/>
        </w:rPr>
        <w:t xml:space="preserve">. </w:t>
      </w:r>
      <w:r>
        <w:rPr>
          <w:rFonts w:ascii="仿宋_GB2312" w:eastAsia="仿宋_GB2312"/>
          <w:b/>
          <w:bCs/>
          <w:sz w:val="32"/>
          <w:szCs w:val="32"/>
        </w:rPr>
        <w:t>师资队伍建设水平</w:t>
      </w:r>
      <w:r>
        <w:rPr>
          <w:rFonts w:hint="eastAsia" w:ascii="仿宋_GB2312" w:eastAsia="仿宋_GB2312"/>
          <w:b/>
          <w:bCs/>
          <w:sz w:val="32"/>
          <w:szCs w:val="32"/>
        </w:rPr>
        <w:t>有</w:t>
      </w:r>
      <w:r>
        <w:rPr>
          <w:rFonts w:ascii="仿宋_GB2312" w:eastAsia="仿宋_GB2312"/>
          <w:b/>
          <w:bCs/>
          <w:sz w:val="32"/>
          <w:szCs w:val="32"/>
        </w:rPr>
        <w:t>力推进。</w:t>
      </w:r>
      <w:r>
        <w:rPr>
          <w:rFonts w:hint="eastAsia" w:ascii="仿宋_GB2312" w:eastAsia="仿宋_GB2312"/>
          <w:sz w:val="32"/>
          <w:szCs w:val="32"/>
        </w:rPr>
        <w:t>开展教育家精神“大学习、大宣传、大讨论”活动，加快建设高素质专业化教师队伍。</w:t>
      </w:r>
      <w:r>
        <w:rPr>
          <w:rFonts w:hint="eastAsia" w:eastAsia="仿宋_GB2312"/>
          <w:sz w:val="32"/>
          <w:szCs w:val="32"/>
        </w:rPr>
        <w:t>1</w:t>
      </w:r>
      <w:r>
        <w:rPr>
          <w:rFonts w:hint="eastAsia" w:ascii="仿宋_GB2312" w:eastAsia="仿宋_GB2312"/>
          <w:sz w:val="32"/>
          <w:szCs w:val="32"/>
        </w:rPr>
        <w:t>人</w:t>
      </w:r>
      <w:r>
        <w:rPr>
          <w:rFonts w:ascii="仿宋_GB2312" w:eastAsia="仿宋_GB2312"/>
          <w:sz w:val="32"/>
          <w:szCs w:val="32"/>
        </w:rPr>
        <w:t>入选中国科协</w:t>
      </w:r>
      <w:r>
        <w:rPr>
          <w:rFonts w:eastAsia="仿宋_GB2312"/>
          <w:sz w:val="32"/>
          <w:szCs w:val="32"/>
        </w:rPr>
        <w:t>“</w:t>
      </w:r>
      <w:r>
        <w:rPr>
          <w:rFonts w:ascii="仿宋_GB2312" w:eastAsia="仿宋_GB2312"/>
          <w:sz w:val="32"/>
          <w:szCs w:val="32"/>
        </w:rPr>
        <w:t>青年人才托举工程</w:t>
      </w:r>
      <w:r>
        <w:rPr>
          <w:rFonts w:eastAsia="仿宋_GB2312"/>
          <w:sz w:val="32"/>
          <w:szCs w:val="32"/>
        </w:rPr>
        <w:t>”</w:t>
      </w:r>
      <w:r>
        <w:rPr>
          <w:rFonts w:ascii="仿宋_GB2312" w:eastAsia="仿宋_GB2312"/>
          <w:sz w:val="32"/>
          <w:szCs w:val="32"/>
        </w:rPr>
        <w:t>；</w:t>
      </w:r>
      <w:r>
        <w:rPr>
          <w:rFonts w:hint="eastAsia" w:ascii="仿宋_GB2312" w:eastAsia="仿宋_GB2312"/>
          <w:sz w:val="32"/>
          <w:szCs w:val="32"/>
        </w:rPr>
        <w:t>新增</w:t>
      </w:r>
      <w:r>
        <w:rPr>
          <w:rFonts w:ascii="仿宋_GB2312" w:eastAsia="仿宋_GB2312"/>
          <w:sz w:val="32"/>
          <w:szCs w:val="32"/>
        </w:rPr>
        <w:t>省部级以上高层次</w:t>
      </w:r>
      <w:r>
        <w:rPr>
          <w:rFonts w:hint="eastAsia" w:ascii="仿宋_GB2312" w:eastAsia="仿宋_GB2312"/>
          <w:sz w:val="32"/>
          <w:szCs w:val="32"/>
        </w:rPr>
        <w:t>人才</w:t>
      </w:r>
      <w:r>
        <w:rPr>
          <w:rFonts w:hint="eastAsia" w:eastAsia="仿宋_GB2312"/>
          <w:sz w:val="32"/>
          <w:szCs w:val="32"/>
        </w:rPr>
        <w:t>6</w:t>
      </w:r>
      <w:r>
        <w:rPr>
          <w:rFonts w:hint="eastAsia" w:ascii="仿宋_GB2312" w:eastAsia="仿宋_GB2312"/>
          <w:sz w:val="32"/>
          <w:szCs w:val="32"/>
        </w:rPr>
        <w:t>人次、湖南省青年骨干教师</w:t>
      </w:r>
      <w:r>
        <w:rPr>
          <w:rFonts w:hint="eastAsia" w:eastAsia="仿宋_GB2312"/>
          <w:sz w:val="32"/>
          <w:szCs w:val="32"/>
        </w:rPr>
        <w:t>8</w:t>
      </w:r>
      <w:r>
        <w:rPr>
          <w:rFonts w:hint="eastAsia" w:ascii="仿宋_GB2312" w:eastAsia="仿宋_GB2312"/>
          <w:sz w:val="32"/>
          <w:szCs w:val="32"/>
        </w:rPr>
        <w:t>人；柔性引进国家级人才</w:t>
      </w:r>
      <w:r>
        <w:rPr>
          <w:rFonts w:hint="eastAsia" w:eastAsia="仿宋_GB2312"/>
          <w:sz w:val="32"/>
          <w:szCs w:val="32"/>
        </w:rPr>
        <w:t>2</w:t>
      </w:r>
      <w:r>
        <w:rPr>
          <w:rFonts w:hint="eastAsia" w:ascii="仿宋_GB2312" w:eastAsia="仿宋_GB2312"/>
          <w:sz w:val="32"/>
          <w:szCs w:val="32"/>
        </w:rPr>
        <w:t>人，引进博士</w:t>
      </w:r>
      <w:r>
        <w:rPr>
          <w:rFonts w:hint="eastAsia" w:eastAsia="仿宋_GB2312"/>
          <w:sz w:val="32"/>
          <w:szCs w:val="32"/>
        </w:rPr>
        <w:t>40</w:t>
      </w:r>
      <w:r>
        <w:rPr>
          <w:rFonts w:hint="eastAsia" w:ascii="仿宋_GB2312" w:eastAsia="仿宋_GB2312"/>
          <w:sz w:val="32"/>
          <w:szCs w:val="32"/>
        </w:rPr>
        <w:t>人；新增省级教学团队</w:t>
      </w:r>
      <w:r>
        <w:rPr>
          <w:rFonts w:hint="eastAsia" w:eastAsia="仿宋_GB2312"/>
          <w:sz w:val="32"/>
          <w:szCs w:val="32"/>
        </w:rPr>
        <w:t>4</w:t>
      </w:r>
      <w:r>
        <w:rPr>
          <w:rFonts w:hint="eastAsia" w:ascii="仿宋_GB2312" w:eastAsia="仿宋_GB2312"/>
          <w:sz w:val="32"/>
          <w:szCs w:val="32"/>
        </w:rPr>
        <w:t>个，科技创新团队</w:t>
      </w:r>
      <w:r>
        <w:rPr>
          <w:rFonts w:hint="eastAsia" w:eastAsia="仿宋_GB2312"/>
          <w:sz w:val="32"/>
          <w:szCs w:val="32"/>
        </w:rPr>
        <w:t>1</w:t>
      </w:r>
      <w:r>
        <w:rPr>
          <w:rFonts w:hint="eastAsia" w:ascii="仿宋_GB2312" w:eastAsia="仿宋_GB2312"/>
          <w:sz w:val="32"/>
          <w:szCs w:val="32"/>
        </w:rPr>
        <w:t>个；选送</w:t>
      </w:r>
      <w:r>
        <w:rPr>
          <w:rFonts w:hint="eastAsia" w:eastAsia="仿宋_GB2312"/>
          <w:sz w:val="32"/>
          <w:szCs w:val="32"/>
        </w:rPr>
        <w:t>3000</w:t>
      </w:r>
      <w:r>
        <w:rPr>
          <w:rFonts w:hint="eastAsia" w:ascii="仿宋_GB2312" w:eastAsia="仿宋_GB2312"/>
          <w:sz w:val="32"/>
          <w:szCs w:val="32"/>
        </w:rPr>
        <w:t>余</w:t>
      </w:r>
      <w:r>
        <w:rPr>
          <w:rFonts w:ascii="仿宋_GB2312" w:eastAsia="仿宋_GB2312"/>
          <w:sz w:val="32"/>
          <w:szCs w:val="32"/>
        </w:rPr>
        <w:t>人</w:t>
      </w:r>
      <w:r>
        <w:rPr>
          <w:rFonts w:hint="eastAsia" w:ascii="仿宋_GB2312" w:eastAsia="仿宋_GB2312"/>
          <w:sz w:val="32"/>
          <w:szCs w:val="32"/>
        </w:rPr>
        <w:t>次</w:t>
      </w:r>
      <w:r>
        <w:rPr>
          <w:rFonts w:ascii="仿宋_GB2312" w:eastAsia="仿宋_GB2312"/>
          <w:sz w:val="32"/>
          <w:szCs w:val="32"/>
        </w:rPr>
        <w:t>参与国外国内访学、企业工程经历等继续教育计划项目</w:t>
      </w:r>
      <w:r>
        <w:rPr>
          <w:rFonts w:hint="eastAsia" w:ascii="仿宋_GB2312" w:eastAsia="仿宋_GB2312"/>
          <w:sz w:val="32"/>
          <w:szCs w:val="32"/>
        </w:rPr>
        <w:t>，连续</w:t>
      </w:r>
      <w:r>
        <w:rPr>
          <w:rFonts w:hint="eastAsia" w:eastAsia="仿宋_GB2312"/>
          <w:sz w:val="32"/>
          <w:szCs w:val="32"/>
        </w:rPr>
        <w:t>3</w:t>
      </w:r>
      <w:r>
        <w:rPr>
          <w:rFonts w:hint="eastAsia" w:ascii="仿宋_GB2312" w:eastAsia="仿宋_GB2312"/>
          <w:sz w:val="32"/>
          <w:szCs w:val="32"/>
        </w:rPr>
        <w:t>年位居全国新建本科院校教师教学发展指数前</w:t>
      </w:r>
      <w:r>
        <w:rPr>
          <w:rFonts w:hint="eastAsia" w:eastAsia="仿宋_GB2312"/>
          <w:sz w:val="32"/>
          <w:szCs w:val="32"/>
        </w:rPr>
        <w:t>30</w:t>
      </w:r>
      <w:r>
        <w:rPr>
          <w:rFonts w:hint="eastAsia" w:ascii="仿宋_GB2312" w:eastAsia="仿宋_GB2312"/>
          <w:sz w:val="32"/>
          <w:szCs w:val="32"/>
        </w:rPr>
        <w:t>位。</w:t>
      </w:r>
    </w:p>
    <w:p>
      <w:pPr>
        <w:autoSpaceDE w:val="0"/>
        <w:spacing w:line="540" w:lineRule="exact"/>
        <w:ind w:firstLine="640" w:firstLineChars="200"/>
        <w:rPr>
          <w:rFonts w:eastAsia="仿宋_GB2312"/>
          <w:sz w:val="32"/>
          <w:szCs w:val="32"/>
        </w:rPr>
      </w:pPr>
      <w:r>
        <w:rPr>
          <w:rFonts w:hint="eastAsia" w:eastAsia="仿宋_GB2312"/>
          <w:b/>
          <w:bCs/>
          <w:sz w:val="32"/>
          <w:szCs w:val="32"/>
        </w:rPr>
        <w:t>14</w:t>
      </w:r>
      <w:r>
        <w:rPr>
          <w:rFonts w:eastAsia="仿宋_GB2312"/>
          <w:b/>
          <w:bCs/>
          <w:sz w:val="32"/>
          <w:szCs w:val="32"/>
        </w:rPr>
        <w:t xml:space="preserve">. </w:t>
      </w:r>
      <w:r>
        <w:rPr>
          <w:rFonts w:ascii="仿宋_GB2312" w:eastAsia="仿宋_GB2312"/>
          <w:b/>
          <w:bCs/>
          <w:sz w:val="32"/>
          <w:szCs w:val="32"/>
        </w:rPr>
        <w:t>创新创业教育成果丰硕。</w:t>
      </w:r>
      <w:r>
        <w:rPr>
          <w:rFonts w:hint="eastAsia" w:ascii="仿宋_GB2312" w:eastAsia="仿宋_GB2312"/>
          <w:sz w:val="32"/>
          <w:szCs w:val="32"/>
        </w:rPr>
        <w:t>新增大学生创新创业训练计划国家级</w:t>
      </w:r>
      <w:r>
        <w:rPr>
          <w:rFonts w:hint="eastAsia" w:eastAsia="仿宋_GB2312"/>
          <w:sz w:val="32"/>
          <w:szCs w:val="32"/>
        </w:rPr>
        <w:t>25</w:t>
      </w:r>
      <w:r>
        <w:rPr>
          <w:rFonts w:hint="eastAsia" w:ascii="仿宋_GB2312" w:eastAsia="仿宋_GB2312"/>
          <w:sz w:val="32"/>
          <w:szCs w:val="32"/>
        </w:rPr>
        <w:t>项、省级</w:t>
      </w:r>
      <w:r>
        <w:rPr>
          <w:rFonts w:hint="eastAsia" w:eastAsia="仿宋_GB2312"/>
          <w:sz w:val="32"/>
          <w:szCs w:val="32"/>
        </w:rPr>
        <w:t>73</w:t>
      </w:r>
      <w:r>
        <w:rPr>
          <w:rFonts w:hint="eastAsia" w:ascii="仿宋_GB2312" w:eastAsia="仿宋_GB2312"/>
          <w:sz w:val="32"/>
          <w:szCs w:val="32"/>
        </w:rPr>
        <w:t>项，大创项目首次入选全国大学生创新创业年会改革成果并展出。在学科竞赛等方面取得新突破，获国家级奖励</w:t>
      </w:r>
      <w:r>
        <w:rPr>
          <w:rFonts w:hint="eastAsia" w:eastAsia="仿宋_GB2312"/>
          <w:sz w:val="32"/>
          <w:szCs w:val="32"/>
        </w:rPr>
        <w:t>158</w:t>
      </w:r>
      <w:r>
        <w:rPr>
          <w:rFonts w:hint="eastAsia" w:ascii="仿宋_GB2312" w:eastAsia="仿宋_GB2312"/>
          <w:sz w:val="32"/>
          <w:szCs w:val="32"/>
        </w:rPr>
        <w:t>项、省级奖励</w:t>
      </w:r>
      <w:r>
        <w:rPr>
          <w:rFonts w:hint="eastAsia" w:eastAsia="仿宋_GB2312"/>
          <w:sz w:val="32"/>
          <w:szCs w:val="32"/>
        </w:rPr>
        <w:t>379</w:t>
      </w:r>
      <w:r>
        <w:rPr>
          <w:rFonts w:hint="eastAsia" w:ascii="仿宋_GB2312" w:eastAsia="仿宋_GB2312"/>
          <w:sz w:val="32"/>
          <w:szCs w:val="32"/>
        </w:rPr>
        <w:t>项，荣登全国普通本科院校大学生竞赛分类榜单（</w:t>
      </w:r>
      <w:r>
        <w:rPr>
          <w:rFonts w:hint="eastAsia" w:eastAsia="仿宋_GB2312"/>
          <w:sz w:val="32"/>
          <w:szCs w:val="32"/>
        </w:rPr>
        <w:t>TOP100</w:t>
      </w:r>
      <w:r>
        <w:rPr>
          <w:rFonts w:hint="eastAsia" w:ascii="仿宋_GB2312" w:eastAsia="仿宋_GB2312"/>
          <w:sz w:val="32"/>
          <w:szCs w:val="32"/>
        </w:rPr>
        <w:t>）。</w:t>
      </w:r>
    </w:p>
    <w:p>
      <w:pPr>
        <w:pStyle w:val="4"/>
        <w:autoSpaceDE w:val="0"/>
        <w:spacing w:before="156" w:beforeLines="50" w:after="156" w:afterLines="50" w:line="540" w:lineRule="exact"/>
        <w:ind w:firstLine="640" w:firstLineChars="200"/>
        <w:rPr>
          <w:rFonts w:ascii="楷体" w:hAnsi="楷体" w:eastAsia="楷体"/>
          <w:b/>
          <w:bCs/>
        </w:rPr>
      </w:pPr>
      <w:r>
        <w:rPr>
          <w:rFonts w:hint="eastAsia" w:ascii="楷体" w:hAnsi="楷体" w:eastAsia="楷体"/>
          <w:b/>
          <w:bCs/>
        </w:rPr>
        <w:t>（四）推进治理体系与治理能力现代化，管理水平和服务质量稳步提高</w:t>
      </w:r>
    </w:p>
    <w:p>
      <w:pPr>
        <w:autoSpaceDE w:val="0"/>
        <w:spacing w:line="540" w:lineRule="exact"/>
        <w:ind w:firstLine="640" w:firstLineChars="200"/>
        <w:rPr>
          <w:rFonts w:eastAsia="仿宋_GB2312"/>
          <w:sz w:val="32"/>
          <w:szCs w:val="32"/>
        </w:rPr>
      </w:pPr>
      <w:r>
        <w:rPr>
          <w:rFonts w:hint="eastAsia" w:eastAsia="仿宋_GB2312"/>
          <w:b/>
          <w:bCs/>
          <w:sz w:val="32"/>
          <w:szCs w:val="32"/>
        </w:rPr>
        <w:t xml:space="preserve">15. </w:t>
      </w:r>
      <w:r>
        <w:rPr>
          <w:rFonts w:hint="eastAsia" w:ascii="仿宋_GB2312" w:eastAsia="仿宋_GB2312"/>
          <w:b/>
          <w:bCs/>
          <w:sz w:val="32"/>
          <w:szCs w:val="32"/>
        </w:rPr>
        <w:t>开放办学力度进一步加大。</w:t>
      </w:r>
      <w:r>
        <w:rPr>
          <w:rFonts w:hint="eastAsia" w:ascii="仿宋_GB2312" w:eastAsia="仿宋_GB2312"/>
          <w:sz w:val="32"/>
          <w:szCs w:val="32"/>
        </w:rPr>
        <w:t>积极向国务院、教育部、财政部、省委省政府等汇报办学情况，多次赴省内外各地市和高水平大学调研。教育部教师工作司司长任友群，分管教育副省长秦国文，省教育厅厅长夏智伦等领导来校调研，赢得各级部门对学校的大力支持。承办教育部高等学校大学化学课程教学指导委员会议、全国地方高校卓越工程教育校企联盟大会等各级学术研讨会和各类赛事活动。</w:t>
      </w:r>
    </w:p>
    <w:p>
      <w:pPr>
        <w:autoSpaceDE w:val="0"/>
        <w:spacing w:line="540" w:lineRule="exact"/>
        <w:ind w:firstLine="640" w:firstLineChars="200"/>
        <w:rPr>
          <w:rFonts w:eastAsia="仿宋_GB2312"/>
          <w:sz w:val="32"/>
          <w:szCs w:val="32"/>
        </w:rPr>
      </w:pPr>
      <w:r>
        <w:rPr>
          <w:rFonts w:hint="eastAsia" w:eastAsia="仿宋_GB2312"/>
          <w:b/>
          <w:bCs/>
          <w:sz w:val="32"/>
          <w:szCs w:val="32"/>
        </w:rPr>
        <w:t xml:space="preserve">16. </w:t>
      </w:r>
      <w:r>
        <w:rPr>
          <w:rFonts w:hint="eastAsia" w:ascii="仿宋_GB2312" w:eastAsia="仿宋_GB2312"/>
          <w:b/>
          <w:bCs/>
          <w:sz w:val="32"/>
          <w:szCs w:val="32"/>
        </w:rPr>
        <w:t>体制机制改革不断推进。</w:t>
      </w:r>
      <w:r>
        <w:rPr>
          <w:rFonts w:hint="eastAsia" w:ascii="仿宋_GB2312" w:eastAsia="仿宋_GB2312"/>
          <w:sz w:val="32"/>
          <w:szCs w:val="32"/>
        </w:rPr>
        <w:t>《湖南工程学院章程（</w:t>
      </w:r>
      <w:r>
        <w:rPr>
          <w:rFonts w:hint="eastAsia" w:eastAsia="仿宋_GB2312"/>
          <w:sz w:val="32"/>
          <w:szCs w:val="32"/>
        </w:rPr>
        <w:t>2023</w:t>
      </w:r>
      <w:r>
        <w:rPr>
          <w:rFonts w:hint="eastAsia" w:ascii="仿宋_GB2312" w:eastAsia="仿宋_GB2312"/>
          <w:sz w:val="32"/>
          <w:szCs w:val="32"/>
        </w:rPr>
        <w:t>年修订）》通过核准，规章制度“废改立”、依法治校等工作稳步推进。深化新时代教育评价改革，构建学生评价新体系典型经验被推介。</w:t>
      </w:r>
      <w:r>
        <w:rPr>
          <w:rFonts w:eastAsia="仿宋_GB2312"/>
          <w:sz w:val="32"/>
          <w:szCs w:val="32"/>
        </w:rPr>
        <w:t>“</w:t>
      </w:r>
      <w:r>
        <w:rPr>
          <w:rFonts w:ascii="仿宋_GB2312" w:eastAsia="仿宋_GB2312"/>
          <w:sz w:val="32"/>
          <w:szCs w:val="32"/>
        </w:rPr>
        <w:t>十四五</w:t>
      </w:r>
      <w:r>
        <w:rPr>
          <w:rFonts w:eastAsia="仿宋_GB2312"/>
          <w:sz w:val="32"/>
          <w:szCs w:val="32"/>
        </w:rPr>
        <w:t>”</w:t>
      </w:r>
      <w:r>
        <w:rPr>
          <w:rFonts w:ascii="仿宋_GB2312" w:eastAsia="仿宋_GB2312"/>
          <w:sz w:val="32"/>
          <w:szCs w:val="32"/>
        </w:rPr>
        <w:t>规划</w:t>
      </w:r>
      <w:r>
        <w:rPr>
          <w:rFonts w:hint="eastAsia" w:ascii="仿宋_GB2312" w:eastAsia="仿宋_GB2312"/>
          <w:sz w:val="32"/>
          <w:szCs w:val="32"/>
        </w:rPr>
        <w:t>主要指标任务实现时间过半、任务过半，部分规划指标已完成或超额完成</w:t>
      </w:r>
      <w:r>
        <w:rPr>
          <w:rFonts w:ascii="仿宋_GB2312" w:eastAsia="仿宋_GB2312"/>
          <w:sz w:val="32"/>
          <w:szCs w:val="32"/>
        </w:rPr>
        <w:t>。</w:t>
      </w:r>
    </w:p>
    <w:p>
      <w:pPr>
        <w:autoSpaceDE w:val="0"/>
        <w:spacing w:line="540" w:lineRule="exact"/>
        <w:ind w:firstLine="640" w:firstLineChars="200"/>
        <w:rPr>
          <w:rFonts w:eastAsia="仿宋_GB2312"/>
          <w:sz w:val="32"/>
          <w:szCs w:val="32"/>
        </w:rPr>
      </w:pPr>
      <w:r>
        <w:rPr>
          <w:rFonts w:hint="eastAsia" w:eastAsia="仿宋_GB2312"/>
          <w:b/>
          <w:bCs/>
          <w:sz w:val="32"/>
          <w:szCs w:val="32"/>
        </w:rPr>
        <w:t>17</w:t>
      </w:r>
      <w:r>
        <w:rPr>
          <w:rFonts w:eastAsia="仿宋_GB2312"/>
          <w:b/>
          <w:bCs/>
          <w:sz w:val="32"/>
          <w:szCs w:val="32"/>
        </w:rPr>
        <w:t xml:space="preserve">. </w:t>
      </w:r>
      <w:r>
        <w:rPr>
          <w:rFonts w:ascii="仿宋_GB2312" w:eastAsia="仿宋_GB2312"/>
          <w:b/>
          <w:bCs/>
          <w:sz w:val="32"/>
          <w:szCs w:val="32"/>
        </w:rPr>
        <w:t>应用技术学院、国际合作教育和高等学历继续教育稳步发展。</w:t>
      </w:r>
      <w:r>
        <w:rPr>
          <w:rFonts w:ascii="仿宋_GB2312" w:eastAsia="仿宋_GB2312"/>
          <w:sz w:val="32"/>
          <w:szCs w:val="32"/>
        </w:rPr>
        <w:t>积极推进独立学院转设工作，独立学院人才培养质量稳步提升。深化国际合作教育，</w:t>
      </w:r>
      <w:r>
        <w:rPr>
          <w:rFonts w:ascii="仿宋_GB2312" w:eastAsia="仿宋_GB2312"/>
          <w:kern w:val="0"/>
          <w:sz w:val="32"/>
          <w:szCs w:val="32"/>
        </w:rPr>
        <w:t>软件工程</w:t>
      </w:r>
      <w:r>
        <w:rPr>
          <w:rFonts w:hint="eastAsia" w:ascii="仿宋_GB2312" w:eastAsia="仿宋_GB2312"/>
          <w:kern w:val="0"/>
          <w:sz w:val="32"/>
          <w:szCs w:val="32"/>
        </w:rPr>
        <w:t>获批</w:t>
      </w:r>
      <w:r>
        <w:rPr>
          <w:rFonts w:ascii="仿宋_GB2312" w:eastAsia="仿宋_GB2312"/>
          <w:kern w:val="0"/>
          <w:sz w:val="32"/>
          <w:szCs w:val="32"/>
        </w:rPr>
        <w:t>中外合作办学本科教育项目，是</w:t>
      </w:r>
      <w:r>
        <w:rPr>
          <w:rFonts w:eastAsia="仿宋_GB2312"/>
          <w:kern w:val="0"/>
          <w:sz w:val="32"/>
          <w:szCs w:val="32"/>
        </w:rPr>
        <w:t>2023</w:t>
      </w:r>
      <w:r>
        <w:rPr>
          <w:rFonts w:ascii="仿宋_GB2312" w:eastAsia="仿宋_GB2312"/>
          <w:kern w:val="0"/>
          <w:sz w:val="32"/>
          <w:szCs w:val="32"/>
        </w:rPr>
        <w:t>年</w:t>
      </w:r>
      <w:r>
        <w:rPr>
          <w:rFonts w:hint="eastAsia" w:ascii="仿宋_GB2312" w:eastAsia="仿宋_GB2312"/>
          <w:kern w:val="0"/>
          <w:sz w:val="32"/>
          <w:szCs w:val="32"/>
        </w:rPr>
        <w:t>湖南</w:t>
      </w:r>
      <w:r>
        <w:rPr>
          <w:rFonts w:ascii="仿宋_GB2312" w:eastAsia="仿宋_GB2312"/>
          <w:kern w:val="0"/>
          <w:sz w:val="32"/>
          <w:szCs w:val="32"/>
        </w:rPr>
        <w:t>省唯一</w:t>
      </w:r>
      <w:r>
        <w:rPr>
          <w:rFonts w:hint="eastAsia" w:ascii="仿宋_GB2312" w:eastAsia="仿宋_GB2312"/>
          <w:kern w:val="0"/>
          <w:sz w:val="32"/>
          <w:szCs w:val="32"/>
        </w:rPr>
        <w:t>新增本科</w:t>
      </w:r>
      <w:r>
        <w:rPr>
          <w:rFonts w:ascii="仿宋_GB2312" w:eastAsia="仿宋_GB2312"/>
          <w:kern w:val="0"/>
          <w:sz w:val="32"/>
          <w:szCs w:val="32"/>
        </w:rPr>
        <w:t>项目</w:t>
      </w:r>
      <w:r>
        <w:rPr>
          <w:rFonts w:hint="eastAsia" w:ascii="仿宋_GB2312" w:eastAsia="仿宋_GB2312"/>
          <w:kern w:val="0"/>
          <w:sz w:val="32"/>
          <w:szCs w:val="32"/>
        </w:rPr>
        <w:t>；</w:t>
      </w:r>
      <w:r>
        <w:rPr>
          <w:rFonts w:ascii="仿宋_GB2312" w:eastAsia="仿宋_GB2312"/>
          <w:sz w:val="32"/>
          <w:szCs w:val="32"/>
        </w:rPr>
        <w:t>派出</w:t>
      </w:r>
      <w:r>
        <w:rPr>
          <w:rFonts w:hint="eastAsia" w:ascii="仿宋_GB2312" w:eastAsia="仿宋_GB2312"/>
          <w:sz w:val="32"/>
          <w:szCs w:val="32"/>
        </w:rPr>
        <w:t>国外</w:t>
      </w:r>
      <w:r>
        <w:rPr>
          <w:rFonts w:ascii="仿宋_GB2312" w:eastAsia="仿宋_GB2312"/>
          <w:sz w:val="32"/>
          <w:szCs w:val="32"/>
        </w:rPr>
        <w:t>交流团组</w:t>
      </w:r>
      <w:r>
        <w:rPr>
          <w:rFonts w:eastAsia="仿宋_GB2312"/>
          <w:sz w:val="32"/>
          <w:szCs w:val="32"/>
        </w:rPr>
        <w:t>6</w:t>
      </w:r>
      <w:r>
        <w:rPr>
          <w:rFonts w:ascii="仿宋_GB2312" w:eastAsia="仿宋_GB2312"/>
          <w:sz w:val="32"/>
          <w:szCs w:val="32"/>
        </w:rPr>
        <w:t>个</w:t>
      </w:r>
      <w:r>
        <w:rPr>
          <w:rFonts w:hint="eastAsia" w:ascii="仿宋_GB2312" w:eastAsia="仿宋_GB2312"/>
          <w:sz w:val="32"/>
          <w:szCs w:val="32"/>
        </w:rPr>
        <w:t>，接待国外合作高校来访团组</w:t>
      </w:r>
      <w:r>
        <w:rPr>
          <w:rFonts w:hint="eastAsia" w:eastAsia="仿宋_GB2312"/>
          <w:sz w:val="32"/>
          <w:szCs w:val="32"/>
        </w:rPr>
        <w:t>4</w:t>
      </w:r>
      <w:r>
        <w:rPr>
          <w:rFonts w:hint="eastAsia" w:ascii="仿宋_GB2312" w:eastAsia="仿宋_GB2312"/>
          <w:sz w:val="32"/>
          <w:szCs w:val="32"/>
        </w:rPr>
        <w:t>个，与</w:t>
      </w:r>
      <w:r>
        <w:rPr>
          <w:rFonts w:hint="eastAsia" w:eastAsia="仿宋_GB2312"/>
          <w:sz w:val="32"/>
          <w:szCs w:val="32"/>
        </w:rPr>
        <w:t>5</w:t>
      </w:r>
      <w:r>
        <w:rPr>
          <w:rFonts w:hint="eastAsia" w:ascii="仿宋_GB2312" w:eastAsia="仿宋_GB2312"/>
          <w:sz w:val="32"/>
          <w:szCs w:val="32"/>
        </w:rPr>
        <w:t>所国外大学签订合作协议；新招收国际学生</w:t>
      </w:r>
      <w:r>
        <w:rPr>
          <w:rFonts w:hint="eastAsia" w:eastAsia="仿宋_GB2312"/>
          <w:sz w:val="32"/>
          <w:szCs w:val="32"/>
        </w:rPr>
        <w:t>14</w:t>
      </w:r>
      <w:r>
        <w:rPr>
          <w:rFonts w:hint="eastAsia" w:ascii="仿宋_GB2312" w:eastAsia="仿宋_GB2312"/>
          <w:sz w:val="32"/>
          <w:szCs w:val="32"/>
        </w:rPr>
        <w:t>人，首次</w:t>
      </w:r>
      <w:r>
        <w:rPr>
          <w:rFonts w:ascii="仿宋_GB2312" w:eastAsia="仿宋_GB2312"/>
          <w:sz w:val="32"/>
          <w:szCs w:val="32"/>
        </w:rPr>
        <w:t>获省政府</w:t>
      </w:r>
      <w:r>
        <w:rPr>
          <w:rFonts w:eastAsia="仿宋_GB2312"/>
          <w:sz w:val="32"/>
          <w:szCs w:val="32"/>
        </w:rPr>
        <w:t>“</w:t>
      </w:r>
      <w:r>
        <w:rPr>
          <w:rFonts w:ascii="仿宋_GB2312" w:eastAsia="仿宋_GB2312"/>
          <w:sz w:val="32"/>
          <w:szCs w:val="32"/>
        </w:rPr>
        <w:t>一带一路语言留学生</w:t>
      </w:r>
      <w:r>
        <w:rPr>
          <w:rFonts w:eastAsia="仿宋_GB2312"/>
          <w:sz w:val="32"/>
          <w:szCs w:val="32"/>
        </w:rPr>
        <w:t>”</w:t>
      </w:r>
      <w:r>
        <w:rPr>
          <w:rFonts w:ascii="仿宋_GB2312" w:eastAsia="仿宋_GB2312"/>
          <w:sz w:val="32"/>
          <w:szCs w:val="32"/>
        </w:rPr>
        <w:t>奖学金和学历学生政府奖学金</w:t>
      </w:r>
      <w:r>
        <w:rPr>
          <w:rFonts w:hint="eastAsia" w:ascii="仿宋_GB2312" w:eastAsia="仿宋_GB2312"/>
          <w:sz w:val="32"/>
          <w:szCs w:val="32"/>
        </w:rPr>
        <w:t>。</w:t>
      </w:r>
      <w:r>
        <w:rPr>
          <w:rFonts w:ascii="仿宋_GB2312" w:eastAsia="仿宋_GB2312"/>
          <w:sz w:val="32"/>
          <w:szCs w:val="32"/>
        </w:rPr>
        <w:t>加强高等学历</w:t>
      </w:r>
      <w:r>
        <w:rPr>
          <w:rFonts w:hint="eastAsia" w:ascii="仿宋_GB2312" w:eastAsia="仿宋_GB2312"/>
          <w:sz w:val="32"/>
          <w:szCs w:val="32"/>
        </w:rPr>
        <w:t>继续教育</w:t>
      </w:r>
      <w:r>
        <w:rPr>
          <w:rFonts w:ascii="仿宋_GB2312" w:eastAsia="仿宋_GB2312"/>
          <w:sz w:val="32"/>
          <w:szCs w:val="32"/>
        </w:rPr>
        <w:t>规范管理，</w:t>
      </w:r>
      <w:r>
        <w:rPr>
          <w:rFonts w:hint="eastAsia" w:ascii="仿宋_GB2312" w:eastAsia="仿宋_GB2312"/>
          <w:sz w:val="32"/>
          <w:szCs w:val="32"/>
        </w:rPr>
        <w:t>全面修订和重新签订《联合办学协议》</w:t>
      </w:r>
      <w:r>
        <w:rPr>
          <w:rFonts w:ascii="仿宋_GB2312" w:eastAsia="仿宋_GB2312"/>
          <w:sz w:val="32"/>
          <w:szCs w:val="32"/>
        </w:rPr>
        <w:t>。</w:t>
      </w:r>
    </w:p>
    <w:p>
      <w:pPr>
        <w:autoSpaceDE w:val="0"/>
        <w:spacing w:line="540" w:lineRule="exact"/>
        <w:ind w:firstLine="640" w:firstLineChars="200"/>
        <w:rPr>
          <w:rFonts w:eastAsia="仿宋_GB2312"/>
          <w:sz w:val="32"/>
          <w:szCs w:val="32"/>
        </w:rPr>
      </w:pPr>
      <w:r>
        <w:rPr>
          <w:rFonts w:hint="eastAsia" w:eastAsia="仿宋_GB2312"/>
          <w:b/>
          <w:bCs/>
          <w:sz w:val="32"/>
          <w:szCs w:val="32"/>
        </w:rPr>
        <w:t>18</w:t>
      </w:r>
      <w:r>
        <w:rPr>
          <w:rFonts w:eastAsia="仿宋_GB2312"/>
          <w:b/>
          <w:bCs/>
          <w:sz w:val="32"/>
          <w:szCs w:val="32"/>
        </w:rPr>
        <w:t xml:space="preserve">. </w:t>
      </w:r>
      <w:r>
        <w:rPr>
          <w:rFonts w:hint="eastAsia" w:ascii="仿宋_GB2312" w:eastAsia="仿宋_GB2312"/>
          <w:b/>
          <w:bCs/>
          <w:sz w:val="32"/>
          <w:szCs w:val="32"/>
        </w:rPr>
        <w:t>办学基础条件日渐完善。</w:t>
      </w:r>
      <w:r>
        <w:rPr>
          <w:rFonts w:hint="eastAsia" w:ascii="仿宋_GB2312" w:eastAsia="仿宋_GB2312"/>
          <w:sz w:val="32"/>
          <w:szCs w:val="32"/>
        </w:rPr>
        <w:t>新建</w:t>
      </w:r>
      <w:r>
        <w:rPr>
          <w:rFonts w:ascii="仿宋_GB2312" w:eastAsia="仿宋_GB2312"/>
          <w:sz w:val="32"/>
          <w:szCs w:val="32"/>
        </w:rPr>
        <w:t>建工大楼</w:t>
      </w:r>
      <w:r>
        <w:rPr>
          <w:rFonts w:hint="eastAsia" w:ascii="仿宋_GB2312" w:eastAsia="仿宋_GB2312"/>
          <w:sz w:val="32"/>
          <w:szCs w:val="32"/>
        </w:rPr>
        <w:t>正式投入使用</w:t>
      </w:r>
      <w:r>
        <w:rPr>
          <w:rFonts w:ascii="仿宋_GB2312" w:eastAsia="仿宋_GB2312"/>
          <w:sz w:val="32"/>
          <w:szCs w:val="32"/>
        </w:rPr>
        <w:t>；纺织实训</w:t>
      </w:r>
      <w:r>
        <w:rPr>
          <w:rFonts w:hint="eastAsia" w:ascii="仿宋_GB2312" w:eastAsia="仿宋_GB2312"/>
          <w:sz w:val="32"/>
          <w:szCs w:val="32"/>
        </w:rPr>
        <w:t>大楼已完成主体验收工作；科创大楼已完成初步设计评审，列入</w:t>
      </w:r>
      <w:r>
        <w:rPr>
          <w:rFonts w:hint="eastAsia" w:eastAsia="仿宋_GB2312"/>
          <w:sz w:val="32"/>
          <w:szCs w:val="32"/>
        </w:rPr>
        <w:t>2023</w:t>
      </w:r>
      <w:r>
        <w:rPr>
          <w:rFonts w:hint="eastAsia" w:ascii="仿宋_GB2312" w:eastAsia="仿宋_GB2312"/>
          <w:sz w:val="32"/>
          <w:szCs w:val="32"/>
        </w:rPr>
        <w:t>年教育强国推进工程中央预算内投资，已到账资金</w:t>
      </w:r>
      <w:r>
        <w:rPr>
          <w:rFonts w:hint="eastAsia" w:eastAsia="仿宋_GB2312"/>
          <w:sz w:val="32"/>
          <w:szCs w:val="32"/>
        </w:rPr>
        <w:t>7000</w:t>
      </w:r>
      <w:r>
        <w:rPr>
          <w:rFonts w:hint="eastAsia" w:ascii="仿宋_GB2312" w:eastAsia="仿宋_GB2312"/>
          <w:sz w:val="32"/>
          <w:szCs w:val="32"/>
        </w:rPr>
        <w:t>万元；对</w:t>
      </w:r>
      <w:r>
        <w:rPr>
          <w:rFonts w:eastAsia="仿宋_GB2312"/>
          <w:sz w:val="32"/>
          <w:szCs w:val="32"/>
        </w:rPr>
        <w:t>4</w:t>
      </w:r>
      <w:r>
        <w:rPr>
          <w:rFonts w:ascii="仿宋_GB2312" w:eastAsia="仿宋_GB2312"/>
          <w:sz w:val="32"/>
          <w:szCs w:val="32"/>
        </w:rPr>
        <w:t>栋学生公寓</w:t>
      </w:r>
      <w:r>
        <w:rPr>
          <w:rFonts w:hint="eastAsia" w:ascii="仿宋_GB2312" w:eastAsia="仿宋_GB2312"/>
          <w:sz w:val="32"/>
          <w:szCs w:val="32"/>
        </w:rPr>
        <w:t>、</w:t>
      </w:r>
      <w:r>
        <w:rPr>
          <w:rFonts w:eastAsia="仿宋_GB2312"/>
          <w:sz w:val="32"/>
          <w:szCs w:val="32"/>
        </w:rPr>
        <w:t>3</w:t>
      </w:r>
      <w:r>
        <w:rPr>
          <w:rFonts w:ascii="仿宋_GB2312" w:eastAsia="仿宋_GB2312"/>
          <w:sz w:val="32"/>
          <w:szCs w:val="32"/>
        </w:rPr>
        <w:t>栋教学楼提质优化</w:t>
      </w:r>
      <w:r>
        <w:rPr>
          <w:rFonts w:hint="eastAsia" w:ascii="仿宋_GB2312" w:eastAsia="仿宋_GB2312"/>
          <w:sz w:val="32"/>
          <w:szCs w:val="32"/>
        </w:rPr>
        <w:t>；</w:t>
      </w:r>
      <w:r>
        <w:rPr>
          <w:rFonts w:ascii="仿宋_GB2312" w:eastAsia="仿宋_GB2312"/>
          <w:sz w:val="32"/>
          <w:szCs w:val="32"/>
        </w:rPr>
        <w:t>完成学生公寓直饮水</w:t>
      </w:r>
      <w:r>
        <w:rPr>
          <w:rFonts w:hint="eastAsia" w:ascii="仿宋_GB2312" w:eastAsia="仿宋_GB2312"/>
          <w:sz w:val="32"/>
          <w:szCs w:val="32"/>
        </w:rPr>
        <w:t>建设项目；</w:t>
      </w:r>
      <w:r>
        <w:rPr>
          <w:rFonts w:ascii="仿宋_GB2312" w:eastAsia="仿宋_GB2312"/>
          <w:sz w:val="32"/>
          <w:szCs w:val="32"/>
        </w:rPr>
        <w:t>整体规划了新校区（滨江）道路，新建</w:t>
      </w:r>
      <w:r>
        <w:rPr>
          <w:rFonts w:hint="eastAsia" w:ascii="仿宋_GB2312" w:eastAsia="仿宋_GB2312"/>
          <w:sz w:val="32"/>
          <w:szCs w:val="32"/>
        </w:rPr>
        <w:t>多个</w:t>
      </w:r>
      <w:r>
        <w:rPr>
          <w:rFonts w:ascii="仿宋_GB2312" w:eastAsia="仿宋_GB2312"/>
          <w:sz w:val="32"/>
          <w:szCs w:val="32"/>
        </w:rPr>
        <w:t>停车位</w:t>
      </w:r>
      <w:r>
        <w:rPr>
          <w:rFonts w:hint="eastAsia" w:ascii="仿宋_GB2312" w:eastAsia="仿宋_GB2312"/>
          <w:sz w:val="32"/>
          <w:szCs w:val="32"/>
        </w:rPr>
        <w:t>、</w:t>
      </w:r>
      <w:r>
        <w:rPr>
          <w:rFonts w:hint="eastAsia" w:eastAsia="仿宋_GB2312"/>
          <w:sz w:val="32"/>
          <w:szCs w:val="32"/>
        </w:rPr>
        <w:t>1</w:t>
      </w:r>
      <w:r>
        <w:rPr>
          <w:rFonts w:ascii="仿宋_GB2312" w:eastAsia="仿宋_GB2312"/>
          <w:sz w:val="32"/>
          <w:szCs w:val="32"/>
        </w:rPr>
        <w:t>座封闭</w:t>
      </w:r>
      <w:r>
        <w:rPr>
          <w:rFonts w:hint="eastAsia" w:ascii="仿宋_GB2312" w:eastAsia="仿宋_GB2312"/>
          <w:sz w:val="32"/>
          <w:szCs w:val="32"/>
        </w:rPr>
        <w:t>式</w:t>
      </w:r>
      <w:r>
        <w:rPr>
          <w:rFonts w:ascii="仿宋_GB2312" w:eastAsia="仿宋_GB2312"/>
          <w:sz w:val="32"/>
          <w:szCs w:val="32"/>
        </w:rPr>
        <w:t>大容量垃圾处理站</w:t>
      </w:r>
      <w:r>
        <w:rPr>
          <w:rFonts w:hint="eastAsia" w:ascii="仿宋_GB2312" w:eastAsia="仿宋_GB2312"/>
          <w:sz w:val="32"/>
          <w:szCs w:val="32"/>
        </w:rPr>
        <w:t>、</w:t>
      </w:r>
      <w:r>
        <w:rPr>
          <w:rFonts w:hint="eastAsia" w:eastAsia="仿宋_GB2312"/>
          <w:sz w:val="32"/>
          <w:szCs w:val="32"/>
        </w:rPr>
        <w:t>2</w:t>
      </w:r>
      <w:r>
        <w:rPr>
          <w:rFonts w:ascii="仿宋_GB2312" w:eastAsia="仿宋_GB2312"/>
          <w:sz w:val="32"/>
          <w:szCs w:val="32"/>
        </w:rPr>
        <w:t>个灯光篮球场。</w:t>
      </w:r>
    </w:p>
    <w:p>
      <w:pPr>
        <w:autoSpaceDE w:val="0"/>
        <w:spacing w:line="540" w:lineRule="exact"/>
        <w:ind w:firstLine="640" w:firstLineChars="200"/>
        <w:rPr>
          <w:rFonts w:eastAsia="仿宋_GB2312"/>
          <w:sz w:val="32"/>
          <w:szCs w:val="32"/>
        </w:rPr>
      </w:pPr>
      <w:r>
        <w:rPr>
          <w:rFonts w:hint="eastAsia" w:eastAsia="仿宋_GB2312"/>
          <w:b/>
          <w:bCs/>
          <w:sz w:val="32"/>
          <w:szCs w:val="32"/>
        </w:rPr>
        <w:t xml:space="preserve">19. </w:t>
      </w:r>
      <w:r>
        <w:rPr>
          <w:rFonts w:ascii="仿宋_GB2312" w:eastAsia="仿宋_GB2312"/>
          <w:b/>
          <w:bCs/>
          <w:sz w:val="32"/>
          <w:szCs w:val="32"/>
        </w:rPr>
        <w:t>资产管理、财务、审计、采购招标等工作务实高效。</w:t>
      </w:r>
      <w:r>
        <w:rPr>
          <w:rFonts w:hint="eastAsia" w:ascii="仿宋_GB2312" w:eastAsia="仿宋_GB2312"/>
          <w:sz w:val="32"/>
          <w:szCs w:val="32"/>
        </w:rPr>
        <w:t>出台大型仪器设备使用绩效考核办法，启用仪器设备维修管理系统，提升设备使用效益。多渠道筹措办学经费，财政拨款收入比上年增长</w:t>
      </w:r>
      <w:r>
        <w:rPr>
          <w:rFonts w:hint="eastAsia" w:eastAsia="仿宋_GB2312"/>
          <w:sz w:val="32"/>
          <w:szCs w:val="32"/>
        </w:rPr>
        <w:t>17%</w:t>
      </w:r>
      <w:r>
        <w:rPr>
          <w:rFonts w:hint="eastAsia" w:ascii="仿宋_GB2312" w:eastAsia="仿宋_GB2312"/>
          <w:sz w:val="32"/>
          <w:szCs w:val="32"/>
        </w:rPr>
        <w:t>；严格落实过紧日子要求，压减结余结转资金，同比减少</w:t>
      </w:r>
      <w:r>
        <w:rPr>
          <w:rFonts w:hint="eastAsia" w:eastAsia="仿宋_GB2312"/>
          <w:sz w:val="32"/>
          <w:szCs w:val="32"/>
        </w:rPr>
        <w:t>41%</w:t>
      </w:r>
      <w:r>
        <w:rPr>
          <w:rFonts w:hint="eastAsia" w:ascii="仿宋_GB2312" w:eastAsia="仿宋_GB2312"/>
          <w:sz w:val="32"/>
          <w:szCs w:val="32"/>
        </w:rPr>
        <w:t>。持续推进内部控制审计，共审减资金</w:t>
      </w:r>
      <w:r>
        <w:rPr>
          <w:rFonts w:hint="eastAsia" w:eastAsia="仿宋_GB2312"/>
          <w:sz w:val="32"/>
          <w:szCs w:val="32"/>
        </w:rPr>
        <w:t>805</w:t>
      </w:r>
      <w:r>
        <w:rPr>
          <w:rFonts w:hint="eastAsia" w:ascii="仿宋_GB2312" w:eastAsia="仿宋_GB2312"/>
          <w:sz w:val="32"/>
          <w:szCs w:val="32"/>
        </w:rPr>
        <w:t>万余元。制定学校合同管理、采购需求管理等文件，上线学校采购管理系统，进一步规范内部治理。</w:t>
      </w:r>
    </w:p>
    <w:p>
      <w:pPr>
        <w:autoSpaceDE w:val="0"/>
        <w:spacing w:line="540" w:lineRule="exact"/>
        <w:ind w:firstLine="640" w:firstLineChars="200"/>
        <w:rPr>
          <w:rFonts w:eastAsia="仿宋_GB2312"/>
          <w:sz w:val="32"/>
          <w:szCs w:val="32"/>
        </w:rPr>
      </w:pPr>
      <w:r>
        <w:rPr>
          <w:rFonts w:hint="eastAsia" w:eastAsia="仿宋_GB2312"/>
          <w:b/>
          <w:bCs/>
          <w:sz w:val="32"/>
          <w:szCs w:val="32"/>
        </w:rPr>
        <w:t>20</w:t>
      </w:r>
      <w:r>
        <w:rPr>
          <w:rFonts w:eastAsia="仿宋_GB2312"/>
          <w:b/>
          <w:bCs/>
          <w:sz w:val="32"/>
          <w:szCs w:val="32"/>
        </w:rPr>
        <w:t xml:space="preserve">. </w:t>
      </w:r>
      <w:r>
        <w:rPr>
          <w:rFonts w:ascii="仿宋_GB2312" w:eastAsia="仿宋_GB2312"/>
          <w:b/>
          <w:bCs/>
          <w:sz w:val="32"/>
          <w:szCs w:val="32"/>
        </w:rPr>
        <w:t>工会、离退、关工委、图书文献资源、后勤服务、校友服务、智慧校园、档案馆、校史馆等建设取得成效。</w:t>
      </w:r>
      <w:r>
        <w:rPr>
          <w:rFonts w:ascii="仿宋_GB2312" w:eastAsia="仿宋_GB2312"/>
          <w:sz w:val="32"/>
          <w:szCs w:val="32"/>
        </w:rPr>
        <w:t>推进绿色电力建设、节水节电及能耗监测端系统等低碳智慧校园建设。建设网络安全态势感知系统，维护校园网络与信息系统安全。新增图书约</w:t>
      </w:r>
      <w:r>
        <w:rPr>
          <w:rFonts w:hint="eastAsia" w:eastAsia="仿宋_GB2312"/>
          <w:sz w:val="32"/>
          <w:szCs w:val="32"/>
        </w:rPr>
        <w:t>4.5</w:t>
      </w:r>
      <w:r>
        <w:rPr>
          <w:rFonts w:ascii="仿宋_GB2312" w:eastAsia="仿宋_GB2312"/>
          <w:sz w:val="32"/>
          <w:szCs w:val="32"/>
        </w:rPr>
        <w:t>万册，开通试用数据库</w:t>
      </w:r>
      <w:r>
        <w:rPr>
          <w:rFonts w:hint="eastAsia" w:eastAsia="仿宋_GB2312"/>
          <w:sz w:val="32"/>
          <w:szCs w:val="32"/>
        </w:rPr>
        <w:t>14</w:t>
      </w:r>
      <w:r>
        <w:rPr>
          <w:rFonts w:ascii="仿宋_GB2312" w:eastAsia="仿宋_GB2312"/>
          <w:sz w:val="32"/>
          <w:szCs w:val="32"/>
        </w:rPr>
        <w:t>个。走访慰问老同志</w:t>
      </w:r>
      <w:r>
        <w:rPr>
          <w:rFonts w:hint="eastAsia" w:eastAsia="仿宋_GB2312"/>
          <w:sz w:val="32"/>
          <w:szCs w:val="32"/>
        </w:rPr>
        <w:t>320</w:t>
      </w:r>
      <w:r>
        <w:rPr>
          <w:rFonts w:ascii="仿宋_GB2312" w:eastAsia="仿宋_GB2312"/>
          <w:sz w:val="32"/>
          <w:szCs w:val="32"/>
        </w:rPr>
        <w:t>余人次；</w:t>
      </w:r>
      <w:r>
        <w:rPr>
          <w:rFonts w:hint="eastAsia" w:ascii="仿宋_GB2312" w:eastAsia="仿宋_GB2312"/>
          <w:sz w:val="32"/>
          <w:szCs w:val="32"/>
        </w:rPr>
        <w:t>召开</w:t>
      </w:r>
      <w:r>
        <w:rPr>
          <w:rFonts w:ascii="仿宋_GB2312" w:eastAsia="仿宋_GB2312"/>
          <w:sz w:val="32"/>
          <w:szCs w:val="32"/>
        </w:rPr>
        <w:t>地方校友会会长、秘书长第五次年会</w:t>
      </w:r>
      <w:r>
        <w:rPr>
          <w:rFonts w:hint="eastAsia" w:ascii="仿宋_GB2312" w:eastAsia="仿宋_GB2312"/>
          <w:sz w:val="32"/>
          <w:szCs w:val="32"/>
        </w:rPr>
        <w:t>，出台校友捐赠管理办法。</w:t>
      </w:r>
      <w:r>
        <w:rPr>
          <w:rFonts w:ascii="仿宋_GB2312" w:eastAsia="仿宋_GB2312"/>
          <w:sz w:val="32"/>
          <w:szCs w:val="32"/>
        </w:rPr>
        <w:t>充分发挥</w:t>
      </w:r>
      <w:r>
        <w:rPr>
          <w:rFonts w:hint="eastAsia" w:ascii="仿宋_GB2312" w:eastAsia="仿宋_GB2312"/>
          <w:sz w:val="32"/>
          <w:szCs w:val="32"/>
        </w:rPr>
        <w:t>校史</w:t>
      </w:r>
      <w:r>
        <w:rPr>
          <w:rFonts w:ascii="仿宋_GB2312" w:eastAsia="仿宋_GB2312"/>
          <w:sz w:val="32"/>
          <w:szCs w:val="32"/>
        </w:rPr>
        <w:t>育人功能</w:t>
      </w:r>
      <w:r>
        <w:rPr>
          <w:rFonts w:hint="eastAsia" w:ascii="仿宋_GB2312" w:eastAsia="仿宋_GB2312"/>
          <w:sz w:val="32"/>
          <w:szCs w:val="32"/>
        </w:rPr>
        <w:t>，</w:t>
      </w:r>
      <w:r>
        <w:rPr>
          <w:rFonts w:ascii="仿宋_GB2312" w:eastAsia="仿宋_GB2312"/>
          <w:sz w:val="32"/>
          <w:szCs w:val="32"/>
        </w:rPr>
        <w:t>校史馆获批湖南省社科普及基地，接待各级领导、企业、校友、师生近</w:t>
      </w:r>
      <w:r>
        <w:rPr>
          <w:rFonts w:eastAsia="仿宋_GB2312"/>
          <w:sz w:val="32"/>
          <w:szCs w:val="32"/>
        </w:rPr>
        <w:t>8236</w:t>
      </w:r>
      <w:r>
        <w:rPr>
          <w:rFonts w:ascii="仿宋_GB2312" w:eastAsia="仿宋_GB2312"/>
          <w:sz w:val="32"/>
          <w:szCs w:val="32"/>
        </w:rPr>
        <w:t>余人，完成</w:t>
      </w:r>
      <w:r>
        <w:rPr>
          <w:rFonts w:eastAsia="仿宋_GB2312"/>
          <w:sz w:val="32"/>
          <w:szCs w:val="32"/>
        </w:rPr>
        <w:t>70</w:t>
      </w:r>
      <w:r>
        <w:rPr>
          <w:rFonts w:ascii="仿宋_GB2312" w:eastAsia="仿宋_GB2312"/>
          <w:sz w:val="32"/>
          <w:szCs w:val="32"/>
        </w:rPr>
        <w:t>年校史</w:t>
      </w:r>
      <w:r>
        <w:rPr>
          <w:rFonts w:hint="eastAsia" w:ascii="仿宋_GB2312" w:eastAsia="仿宋_GB2312"/>
          <w:sz w:val="32"/>
          <w:szCs w:val="32"/>
        </w:rPr>
        <w:t>审核</w:t>
      </w:r>
      <w:r>
        <w:rPr>
          <w:rFonts w:ascii="仿宋_GB2312" w:eastAsia="仿宋_GB2312"/>
          <w:sz w:val="32"/>
          <w:szCs w:val="32"/>
        </w:rPr>
        <w:t>。加强民主管理，成立省属高校第一</w:t>
      </w:r>
      <w:r>
        <w:rPr>
          <w:rFonts w:hint="eastAsia" w:ascii="仿宋_GB2312" w:eastAsia="仿宋_GB2312"/>
          <w:sz w:val="32"/>
          <w:szCs w:val="32"/>
        </w:rPr>
        <w:t>家</w:t>
      </w:r>
      <w:r>
        <w:rPr>
          <w:rFonts w:ascii="仿宋_GB2312" w:eastAsia="仿宋_GB2312"/>
          <w:sz w:val="32"/>
          <w:szCs w:val="32"/>
        </w:rPr>
        <w:t>妇联组织</w:t>
      </w:r>
      <w:r>
        <w:rPr>
          <w:rFonts w:hint="eastAsia" w:ascii="仿宋_GB2312" w:eastAsia="仿宋_GB2312"/>
          <w:sz w:val="32"/>
          <w:szCs w:val="32"/>
        </w:rPr>
        <w:t>，</w:t>
      </w:r>
      <w:r>
        <w:rPr>
          <w:rFonts w:ascii="仿宋_GB2312" w:eastAsia="仿宋_GB2312"/>
          <w:sz w:val="32"/>
          <w:szCs w:val="32"/>
        </w:rPr>
        <w:t>召开</w:t>
      </w:r>
      <w:r>
        <w:rPr>
          <w:rFonts w:hint="eastAsia" w:ascii="仿宋_GB2312" w:eastAsia="仿宋_GB2312"/>
          <w:sz w:val="32"/>
          <w:szCs w:val="32"/>
        </w:rPr>
        <w:t>教职工代表大会，组织各类工会活动丰富教职工文化生活。</w:t>
      </w:r>
    </w:p>
    <w:p>
      <w:pPr>
        <w:spacing w:line="240" w:lineRule="atLeast"/>
        <w:ind w:right="105" w:rightChars="50" w:firstLine="742" w:firstLineChars="232"/>
        <w:rPr>
          <w:rFonts w:eastAsia="黑体"/>
          <w:b/>
          <w:sz w:val="32"/>
          <w:szCs w:val="32"/>
        </w:rPr>
      </w:pPr>
      <w:r>
        <w:rPr>
          <w:rFonts w:hint="eastAsia" w:eastAsia="黑体"/>
          <w:b/>
          <w:sz w:val="32"/>
          <w:szCs w:val="32"/>
        </w:rPr>
        <w:t>七、存在的问题及原因分析</w:t>
      </w:r>
    </w:p>
    <w:p>
      <w:pPr>
        <w:spacing w:line="580" w:lineRule="exact"/>
        <w:ind w:firstLine="640" w:firstLineChars="200"/>
        <w:jc w:val="left"/>
        <w:rPr>
          <w:rFonts w:eastAsia="楷体"/>
          <w:b/>
          <w:sz w:val="32"/>
          <w:szCs w:val="32"/>
        </w:rPr>
      </w:pPr>
      <w:r>
        <w:rPr>
          <w:rFonts w:hint="eastAsia" w:eastAsia="楷体"/>
          <w:b/>
          <w:sz w:val="32"/>
          <w:szCs w:val="32"/>
        </w:rPr>
        <w:t>（一）收入总量偏小，办学经费与办学规模矛盾突出</w:t>
      </w:r>
    </w:p>
    <w:p>
      <w:pPr>
        <w:spacing w:line="580" w:lineRule="exact"/>
        <w:ind w:firstLine="640" w:firstLineChars="200"/>
        <w:rPr>
          <w:rFonts w:eastAsia="仿宋"/>
          <w:sz w:val="32"/>
          <w:szCs w:val="32"/>
        </w:rPr>
      </w:pPr>
      <w:r>
        <w:rPr>
          <w:rFonts w:hint="eastAsia" w:eastAsia="仿宋"/>
          <w:sz w:val="32"/>
          <w:szCs w:val="32"/>
        </w:rPr>
        <w:t>随着办学规模的不断扩大，办学经费不能满足事业发展需要。财政拨款和学费收入有限，获得专项经费的实力和能力不够强，办学经费来源比较单一，国家财政投入偏少，生均拨款逐年下降，不断扩大的办学规模与来源有限的办学经费之间的矛盾日益突出。</w:t>
      </w:r>
    </w:p>
    <w:p>
      <w:pPr>
        <w:spacing w:line="580" w:lineRule="exact"/>
        <w:ind w:firstLine="640" w:firstLineChars="200"/>
        <w:jc w:val="left"/>
        <w:rPr>
          <w:rFonts w:eastAsia="楷体"/>
          <w:b/>
          <w:sz w:val="32"/>
          <w:szCs w:val="32"/>
        </w:rPr>
      </w:pPr>
      <w:r>
        <w:rPr>
          <w:rFonts w:hint="eastAsia" w:eastAsia="楷体"/>
          <w:b/>
          <w:sz w:val="32"/>
          <w:szCs w:val="32"/>
        </w:rPr>
        <w:t>（二）支出增长较快，可自由支配财力非常有限</w:t>
      </w:r>
    </w:p>
    <w:p>
      <w:pPr>
        <w:spacing w:line="580" w:lineRule="exact"/>
        <w:ind w:firstLine="640"/>
        <w:rPr>
          <w:rFonts w:eastAsia="仿宋"/>
          <w:sz w:val="32"/>
          <w:szCs w:val="32"/>
        </w:rPr>
      </w:pPr>
      <w:r>
        <w:rPr>
          <w:rFonts w:hint="eastAsia" w:eastAsia="仿宋"/>
          <w:sz w:val="32"/>
          <w:szCs w:val="32"/>
        </w:rPr>
        <w:t>工资性</w:t>
      </w:r>
      <w:r>
        <w:rPr>
          <w:rFonts w:eastAsia="仿宋"/>
          <w:sz w:val="32"/>
          <w:szCs w:val="32"/>
        </w:rPr>
        <w:t>支出和社会保障支出增大，人才引进与培养经费的资金需求持续增加， “双一流”和“新工科”建设工作的推进也需要较大的资金支持；纺织实训大楼、科创大楼等基本建设项目的启动，需要大量资金投入；日常运行经费偏紧难以满足正常需求，教学、实验以及学生宿舍等提质改造任务还很艰巨</w:t>
      </w:r>
      <w:r>
        <w:rPr>
          <w:rFonts w:hint="eastAsia" w:eastAsia="仿宋"/>
          <w:sz w:val="32"/>
          <w:szCs w:val="32"/>
        </w:rPr>
        <w:t>。</w:t>
      </w:r>
      <w:r>
        <w:rPr>
          <w:rFonts w:eastAsia="仿宋"/>
          <w:kern w:val="0"/>
          <w:sz w:val="32"/>
          <w:szCs w:val="32"/>
        </w:rPr>
        <w:t>经费刚性支出增长较快与学校可自由支配财力不足</w:t>
      </w:r>
      <w:r>
        <w:rPr>
          <w:rFonts w:eastAsia="仿宋"/>
          <w:sz w:val="32"/>
          <w:szCs w:val="32"/>
        </w:rPr>
        <w:t>、</w:t>
      </w:r>
      <w:r>
        <w:rPr>
          <w:rFonts w:hint="eastAsia" w:eastAsia="仿宋"/>
          <w:sz w:val="32"/>
          <w:szCs w:val="32"/>
        </w:rPr>
        <w:t>学校事业发展资金需求与教育经费相对短缺等之间的矛盾日渐突出。</w:t>
      </w:r>
    </w:p>
    <w:p>
      <w:pPr>
        <w:spacing w:line="580" w:lineRule="exact"/>
        <w:ind w:firstLine="640" w:firstLineChars="200"/>
        <w:jc w:val="left"/>
        <w:rPr>
          <w:rFonts w:eastAsia="楷体"/>
          <w:b/>
          <w:bCs/>
          <w:sz w:val="32"/>
          <w:szCs w:val="32"/>
        </w:rPr>
      </w:pPr>
      <w:r>
        <w:rPr>
          <w:rFonts w:hint="eastAsia" w:eastAsia="楷体"/>
          <w:b/>
          <w:bCs/>
          <w:sz w:val="32"/>
          <w:szCs w:val="32"/>
        </w:rPr>
        <w:t>（三）预算执行管理亟待加强</w:t>
      </w:r>
    </w:p>
    <w:p>
      <w:pPr>
        <w:spacing w:line="580" w:lineRule="exact"/>
        <w:ind w:firstLine="640" w:firstLineChars="200"/>
        <w:jc w:val="left"/>
        <w:rPr>
          <w:rFonts w:eastAsia="仿宋"/>
          <w:sz w:val="32"/>
          <w:szCs w:val="32"/>
        </w:rPr>
      </w:pPr>
      <w:r>
        <w:rPr>
          <w:rFonts w:eastAsia="仿宋"/>
          <w:sz w:val="32"/>
          <w:szCs w:val="32"/>
        </w:rPr>
        <w:t>为深化预算管理制度改革，加强预算执行管理，实现预算管理的科学化、精细化，更好地为改革发展稳定大局服务，</w:t>
      </w:r>
      <w:r>
        <w:rPr>
          <w:rFonts w:hint="eastAsia" w:eastAsia="仿宋"/>
          <w:sz w:val="32"/>
          <w:szCs w:val="32"/>
        </w:rPr>
        <w:t>预算执行工作在这其中起到了重要作用。</w:t>
      </w:r>
      <w:r>
        <w:rPr>
          <w:rFonts w:eastAsia="仿宋"/>
          <w:sz w:val="32"/>
          <w:szCs w:val="32"/>
        </w:rPr>
        <w:t>但是，预算执行进度慢、项目支出管理不够严、个别项目支出绩效不佳等问题仍然存在</w:t>
      </w:r>
      <w:r>
        <w:rPr>
          <w:rFonts w:hint="eastAsia" w:eastAsia="仿宋"/>
          <w:sz w:val="32"/>
          <w:szCs w:val="32"/>
        </w:rPr>
        <w:t>。</w:t>
      </w:r>
    </w:p>
    <w:p>
      <w:pPr>
        <w:spacing w:line="580" w:lineRule="exact"/>
        <w:ind w:firstLine="640" w:firstLineChars="200"/>
        <w:jc w:val="left"/>
        <w:rPr>
          <w:rFonts w:eastAsia="楷体"/>
          <w:b/>
          <w:bCs/>
          <w:sz w:val="32"/>
          <w:szCs w:val="32"/>
        </w:rPr>
      </w:pPr>
      <w:r>
        <w:rPr>
          <w:rFonts w:hint="eastAsia" w:eastAsia="楷体"/>
          <w:b/>
          <w:bCs/>
          <w:sz w:val="32"/>
          <w:szCs w:val="32"/>
        </w:rPr>
        <w:t xml:space="preserve">（四）预算项目绩效考核体系有待完善 </w:t>
      </w:r>
    </w:p>
    <w:p>
      <w:pPr>
        <w:spacing w:line="580" w:lineRule="exact"/>
        <w:ind w:firstLine="640" w:firstLineChars="200"/>
        <w:jc w:val="left"/>
        <w:rPr>
          <w:rFonts w:eastAsia="仿宋"/>
          <w:sz w:val="32"/>
          <w:szCs w:val="32"/>
        </w:rPr>
      </w:pPr>
      <w:r>
        <w:rPr>
          <w:rFonts w:eastAsia="仿宋"/>
          <w:sz w:val="32"/>
          <w:szCs w:val="32"/>
        </w:rPr>
        <w:t>高等学校的基本职能实现程度的绩效评价往往与其他行政单位有很大区别，且短时间内难以量化，比如高校对学生活动和实践、教师培训、学校后勤保障等方面的投入大都属于费用性支出，短期内无法转化为明显的绩效。为了避免引导学校追求短期的绩效，因此在制定学校</w:t>
      </w:r>
      <w:r>
        <w:rPr>
          <w:rFonts w:hint="eastAsia" w:eastAsia="仿宋"/>
          <w:sz w:val="32"/>
          <w:szCs w:val="32"/>
        </w:rPr>
        <w:t>预算</w:t>
      </w:r>
      <w:r>
        <w:rPr>
          <w:rFonts w:eastAsia="仿宋"/>
          <w:sz w:val="32"/>
          <w:szCs w:val="32"/>
        </w:rPr>
        <w:t>绩效目标时需要结合高校的整体发展情况量身定制绩效目标个性化考核。</w:t>
      </w:r>
    </w:p>
    <w:p>
      <w:pPr>
        <w:spacing w:line="240" w:lineRule="atLeast"/>
        <w:ind w:right="105" w:rightChars="50" w:firstLine="742" w:firstLineChars="232"/>
        <w:rPr>
          <w:rFonts w:eastAsia="黑体"/>
          <w:b/>
          <w:sz w:val="32"/>
          <w:szCs w:val="32"/>
        </w:rPr>
      </w:pPr>
      <w:r>
        <w:rPr>
          <w:rFonts w:hint="eastAsia" w:eastAsia="黑体"/>
          <w:b/>
          <w:sz w:val="32"/>
          <w:szCs w:val="32"/>
        </w:rPr>
        <w:t>八、下一步改进措施</w:t>
      </w:r>
    </w:p>
    <w:p>
      <w:pPr>
        <w:spacing w:line="240" w:lineRule="atLeast"/>
        <w:ind w:firstLine="640" w:firstLineChars="200"/>
        <w:rPr>
          <w:rFonts w:eastAsia="仿宋_GB2312"/>
          <w:sz w:val="32"/>
          <w:szCs w:val="32"/>
        </w:rPr>
      </w:pPr>
      <w:r>
        <w:rPr>
          <w:rFonts w:eastAsia="仿宋_GB2312"/>
          <w:sz w:val="32"/>
          <w:szCs w:val="32"/>
        </w:rPr>
        <w:t>202</w:t>
      </w:r>
      <w:r>
        <w:rPr>
          <w:rFonts w:hint="eastAsia" w:eastAsia="仿宋_GB2312"/>
          <w:sz w:val="32"/>
          <w:szCs w:val="32"/>
        </w:rPr>
        <w:t>4年学校财务管理工作将结合学校</w:t>
      </w:r>
      <w:r>
        <w:rPr>
          <w:rFonts w:eastAsia="仿宋_GB2312"/>
          <w:sz w:val="32"/>
          <w:szCs w:val="32"/>
        </w:rPr>
        <w:t>“</w:t>
      </w:r>
      <w:r>
        <w:rPr>
          <w:rFonts w:hint="eastAsia" w:eastAsia="仿宋_GB2312"/>
          <w:sz w:val="32"/>
          <w:szCs w:val="32"/>
        </w:rPr>
        <w:t>双一流</w:t>
      </w:r>
      <w:r>
        <w:rPr>
          <w:rFonts w:eastAsia="仿宋_GB2312"/>
          <w:sz w:val="32"/>
          <w:szCs w:val="32"/>
        </w:rPr>
        <w:t>”</w:t>
      </w:r>
      <w:r>
        <w:rPr>
          <w:rFonts w:hint="eastAsia" w:eastAsia="仿宋_GB2312"/>
          <w:sz w:val="32"/>
          <w:szCs w:val="32"/>
        </w:rPr>
        <w:t>建设等重点工作的具体目标，在拓宽办学渠道和增加办学经费上下功夫，在防范风险关键点和要害处下功夫，在提高会计核算质量和财务信息化水平上下功夫，全面提高学校财务管理水平。</w:t>
      </w:r>
    </w:p>
    <w:p>
      <w:pPr>
        <w:spacing w:line="580" w:lineRule="exact"/>
        <w:ind w:firstLine="640" w:firstLineChars="200"/>
        <w:jc w:val="left"/>
        <w:rPr>
          <w:rFonts w:eastAsia="楷体"/>
          <w:b/>
          <w:bCs/>
          <w:sz w:val="32"/>
          <w:szCs w:val="32"/>
        </w:rPr>
      </w:pPr>
      <w:r>
        <w:rPr>
          <w:rFonts w:eastAsia="楷体"/>
          <w:b/>
          <w:bCs/>
          <w:sz w:val="32"/>
          <w:szCs w:val="32"/>
        </w:rPr>
        <w:t>（一）多渠道筹措办学经费，提高学校财力保障水平</w:t>
      </w:r>
    </w:p>
    <w:p>
      <w:pPr>
        <w:spacing w:line="580" w:lineRule="exact"/>
        <w:ind w:firstLine="640" w:firstLineChars="200"/>
        <w:rPr>
          <w:rFonts w:eastAsia="仿宋"/>
          <w:color w:val="000000"/>
          <w:sz w:val="32"/>
          <w:szCs w:val="32"/>
        </w:rPr>
      </w:pPr>
      <w:r>
        <w:rPr>
          <w:rFonts w:eastAsia="仿宋"/>
          <w:kern w:val="0"/>
          <w:sz w:val="32"/>
          <w:szCs w:val="32"/>
        </w:rPr>
        <w:t>一是学校各部门密切关注国家支持高校各项事业发展的信息，深入研判国家与高校有关的方针政策，加强与省发改委、省财政厅、省教育厅相关处室的沟通交流，及时跟踪各项政策的制定和发布，积极争取财政资金对学校的最大支持，继续争取“双一流”建设专项资金、中央支持地方高校发展建设专项资金和“十四五”基建专项资金支持，确保财政拨款有较大增幅；二是加强学费收入管理，保证学费收入应收尽收，确保教育事业收入足额收缴到位；三是加强与政府、企业、</w:t>
      </w:r>
      <w:r>
        <w:rPr>
          <w:rFonts w:eastAsia="仿宋"/>
          <w:color w:val="000000"/>
          <w:sz w:val="32"/>
          <w:szCs w:val="32"/>
        </w:rPr>
        <w:t>校友等的沟通合作，争取其对学校的科学研究和人才培养给予经费支持，确保横向收入稳步增长；四是加强资产出租等收入管理，通过市场换投资、校友捐赠等手段争取更多其他收入。</w:t>
      </w:r>
    </w:p>
    <w:p>
      <w:pPr>
        <w:spacing w:line="580" w:lineRule="exact"/>
        <w:ind w:firstLine="640" w:firstLineChars="200"/>
        <w:jc w:val="left"/>
        <w:rPr>
          <w:rFonts w:eastAsia="楷体"/>
          <w:b/>
          <w:bCs/>
          <w:sz w:val="32"/>
          <w:szCs w:val="32"/>
        </w:rPr>
      </w:pPr>
      <w:r>
        <w:rPr>
          <w:rFonts w:eastAsia="楷体"/>
          <w:b/>
          <w:bCs/>
          <w:sz w:val="32"/>
          <w:szCs w:val="32"/>
        </w:rPr>
        <w:t>（二）厉行节约控支出，构建节约型校园</w:t>
      </w:r>
    </w:p>
    <w:p>
      <w:pPr>
        <w:spacing w:line="580" w:lineRule="exact"/>
        <w:ind w:firstLine="640" w:firstLineChars="200"/>
        <w:jc w:val="left"/>
        <w:rPr>
          <w:rFonts w:eastAsia="仿宋"/>
          <w:sz w:val="32"/>
          <w:szCs w:val="32"/>
        </w:rPr>
      </w:pPr>
      <w:r>
        <w:rPr>
          <w:rFonts w:eastAsia="仿宋"/>
          <w:sz w:val="32"/>
          <w:szCs w:val="32"/>
        </w:rPr>
        <w:t>继续发扬艰苦奋斗、勤俭办学的优良传统，牢固树立“过紧日子”思想，坚持精打细算，勤俭节约，倡导“花好钱、办实事、重效益、防风险”的“阳光财务”，切实提高资金使用效益；加大宣传力度，大力倡导勤俭节约之风，不断提高师生员工的节约意识，养成节约习惯。严把财务支出关，严控计划外支出，严控差旅费、接待费、办公费，减少跑冒滴漏，杜绝铺张浪费，建设节约型校园。</w:t>
      </w:r>
    </w:p>
    <w:p>
      <w:pPr>
        <w:spacing w:line="580" w:lineRule="exact"/>
        <w:ind w:firstLine="640" w:firstLineChars="200"/>
        <w:jc w:val="left"/>
        <w:rPr>
          <w:rFonts w:eastAsia="楷体"/>
          <w:b/>
          <w:bCs/>
          <w:sz w:val="32"/>
          <w:szCs w:val="32"/>
        </w:rPr>
      </w:pPr>
      <w:r>
        <w:rPr>
          <w:rFonts w:eastAsia="楷体"/>
          <w:b/>
          <w:bCs/>
          <w:sz w:val="32"/>
          <w:szCs w:val="32"/>
        </w:rPr>
        <w:t>（三）</w:t>
      </w:r>
      <w:r>
        <w:rPr>
          <w:rFonts w:hint="eastAsia" w:eastAsia="楷体"/>
          <w:b/>
          <w:bCs/>
          <w:sz w:val="32"/>
          <w:szCs w:val="32"/>
        </w:rPr>
        <w:t>强化责任意识，加快支出进度</w:t>
      </w:r>
    </w:p>
    <w:p>
      <w:pPr>
        <w:spacing w:line="580" w:lineRule="exact"/>
        <w:ind w:firstLine="640" w:firstLineChars="200"/>
        <w:rPr>
          <w:rFonts w:eastAsia="仿宋"/>
          <w:sz w:val="32"/>
          <w:szCs w:val="32"/>
        </w:rPr>
      </w:pPr>
      <w:r>
        <w:rPr>
          <w:rFonts w:hint="eastAsia" w:eastAsia="仿宋"/>
          <w:sz w:val="32"/>
          <w:szCs w:val="32"/>
        </w:rPr>
        <w:t>年度预算执行过程中，学校实施建设项目动态调整机制，对执行不力的预算项目，将调整用于其他急需领域。进一步健全预算执行跟踪监控机制，项目单位、财务部门、采购与招标部门、项目归口管理部门深化完善多部门协同联动的工作机制，加快预算执行进度，确保资金按期支付，充分发挥资金使用效率。</w:t>
      </w:r>
    </w:p>
    <w:p>
      <w:pPr>
        <w:spacing w:line="580" w:lineRule="exact"/>
        <w:ind w:firstLine="640" w:firstLineChars="200"/>
        <w:rPr>
          <w:rFonts w:eastAsia="楷体"/>
          <w:sz w:val="32"/>
          <w:szCs w:val="32"/>
        </w:rPr>
      </w:pPr>
      <w:r>
        <w:rPr>
          <w:rFonts w:hint="eastAsia" w:eastAsia="楷体"/>
          <w:b/>
          <w:bCs/>
          <w:sz w:val="32"/>
          <w:szCs w:val="32"/>
        </w:rPr>
        <w:t>（四）加强项目</w:t>
      </w:r>
      <w:r>
        <w:rPr>
          <w:rFonts w:eastAsia="楷体"/>
          <w:b/>
          <w:bCs/>
          <w:sz w:val="32"/>
          <w:szCs w:val="32"/>
        </w:rPr>
        <w:t>绩效管理，提高资金使用绩效</w:t>
      </w:r>
    </w:p>
    <w:p>
      <w:pPr>
        <w:spacing w:line="580" w:lineRule="exact"/>
        <w:ind w:firstLine="640" w:firstLineChars="200"/>
      </w:pPr>
      <w:r>
        <w:rPr>
          <w:rFonts w:eastAsia="仿宋"/>
          <w:sz w:val="32"/>
          <w:szCs w:val="32"/>
        </w:rPr>
        <w:t>按照“统一规划，分类统筹、动态管理、追踪问效”的原则，积极推进项目库的建设，加强项目的前期论证，提高重大预算的科学性。坚持责权利相统一，强化预算执行管理，将预算执行情况与绩效评价有机结合，建立预算执行跟踪管理的动态评价机制，提高资金使用效益。</w:t>
      </w:r>
    </w:p>
    <w:p>
      <w:pPr>
        <w:spacing w:line="600" w:lineRule="exact"/>
        <w:ind w:firstLine="640" w:firstLineChars="200"/>
        <w:jc w:val="left"/>
        <w:rPr>
          <w:rFonts w:eastAsia="黑体"/>
          <w:b/>
          <w:sz w:val="32"/>
          <w:szCs w:val="32"/>
        </w:rPr>
      </w:pPr>
      <w:r>
        <w:rPr>
          <w:rFonts w:hint="eastAsia" w:eastAsia="黑体"/>
          <w:b/>
          <w:sz w:val="32"/>
          <w:szCs w:val="32"/>
        </w:rPr>
        <w:t>九、部门整体支出绩效自评结果拟应用和公开情况</w:t>
      </w:r>
    </w:p>
    <w:p>
      <w:pPr>
        <w:spacing w:line="580" w:lineRule="exact"/>
        <w:ind w:firstLine="640" w:firstLineChars="200"/>
        <w:rPr>
          <w:rFonts w:eastAsia="仿宋"/>
          <w:sz w:val="32"/>
          <w:szCs w:val="32"/>
        </w:rPr>
      </w:pPr>
      <w:r>
        <w:rPr>
          <w:rFonts w:eastAsia="仿宋"/>
          <w:sz w:val="32"/>
          <w:szCs w:val="32"/>
        </w:rPr>
        <w:t>学校绩效自评结果将作为</w:t>
      </w:r>
      <w:r>
        <w:rPr>
          <w:rFonts w:hint="eastAsia" w:eastAsia="仿宋"/>
          <w:sz w:val="32"/>
          <w:szCs w:val="32"/>
        </w:rPr>
        <w:t>学校</w:t>
      </w:r>
      <w:r>
        <w:rPr>
          <w:rFonts w:eastAsia="仿宋"/>
          <w:sz w:val="32"/>
          <w:szCs w:val="32"/>
        </w:rPr>
        <w:t>完善政策和改进管理的重要依据，同时，绩效自评结果</w:t>
      </w:r>
      <w:r>
        <w:rPr>
          <w:rFonts w:hint="eastAsia" w:eastAsia="仿宋"/>
          <w:sz w:val="32"/>
          <w:szCs w:val="32"/>
        </w:rPr>
        <w:t>将</w:t>
      </w:r>
      <w:r>
        <w:rPr>
          <w:rFonts w:eastAsia="仿宋"/>
          <w:sz w:val="32"/>
          <w:szCs w:val="32"/>
        </w:rPr>
        <w:t>与</w:t>
      </w:r>
      <w:r>
        <w:rPr>
          <w:rFonts w:hint="eastAsia" w:eastAsia="仿宋"/>
          <w:sz w:val="32"/>
          <w:szCs w:val="32"/>
        </w:rPr>
        <w:t>学校部门</w:t>
      </w:r>
      <w:r>
        <w:rPr>
          <w:rFonts w:eastAsia="仿宋"/>
          <w:sz w:val="32"/>
          <w:szCs w:val="32"/>
        </w:rPr>
        <w:t>下年度预算相结合，重点保障绩效好的项目，对绩效较低的项目要扣减相应预算或暂停拨付资金。</w:t>
      </w:r>
    </w:p>
    <w:p>
      <w:pPr>
        <w:pStyle w:val="20"/>
        <w:widowControl w:val="0"/>
        <w:ind w:firstLine="0" w:firstLineChars="0"/>
        <w:rPr>
          <w:rFonts w:ascii="Times New Roman" w:hAnsi="Times New Roman" w:eastAsia="黑体"/>
          <w:szCs w:val="32"/>
        </w:rPr>
      </w:pPr>
    </w:p>
    <w:p>
      <w:pPr>
        <w:pStyle w:val="20"/>
        <w:widowControl w:val="0"/>
        <w:ind w:firstLine="0" w:firstLineChars="0"/>
        <w:rPr>
          <w:rFonts w:ascii="Times New Roman" w:hAnsi="Times New Roman" w:eastAsia="黑体"/>
          <w:szCs w:val="32"/>
        </w:rPr>
      </w:pPr>
    </w:p>
    <w:p>
      <w:pPr>
        <w:pStyle w:val="20"/>
        <w:widowControl w:val="0"/>
        <w:ind w:firstLine="0" w:firstLineChars="0"/>
        <w:rPr>
          <w:rFonts w:ascii="Times New Roman" w:hAnsi="Times New Roman" w:eastAsia="黑体"/>
          <w:szCs w:val="32"/>
        </w:rPr>
      </w:pPr>
    </w:p>
    <w:p>
      <w:pPr>
        <w:pStyle w:val="20"/>
        <w:widowControl w:val="0"/>
        <w:ind w:firstLine="0" w:firstLineChars="0"/>
        <w:rPr>
          <w:rFonts w:ascii="Times New Roman" w:hAnsi="Times New Roman" w:eastAsia="黑体"/>
          <w:szCs w:val="32"/>
        </w:rPr>
      </w:pPr>
    </w:p>
    <w:p>
      <w:pPr>
        <w:pStyle w:val="20"/>
        <w:widowControl w:val="0"/>
        <w:ind w:firstLine="0" w:firstLineChars="0"/>
        <w:rPr>
          <w:rFonts w:ascii="Times New Roman" w:hAnsi="Times New Roman" w:eastAsia="黑体"/>
          <w:szCs w:val="32"/>
        </w:rPr>
      </w:pPr>
    </w:p>
    <w:p>
      <w:pPr>
        <w:pStyle w:val="20"/>
        <w:widowControl w:val="0"/>
        <w:ind w:firstLine="0" w:firstLineChars="0"/>
        <w:rPr>
          <w:rFonts w:ascii="Times New Roman" w:hAnsi="Times New Roman" w:eastAsia="黑体"/>
          <w:szCs w:val="32"/>
        </w:rPr>
      </w:pPr>
    </w:p>
    <w:p>
      <w:pPr>
        <w:pStyle w:val="20"/>
        <w:widowControl w:val="0"/>
        <w:ind w:firstLine="0" w:firstLineChars="0"/>
        <w:rPr>
          <w:rFonts w:ascii="Times New Roman" w:hAnsi="Times New Roman" w:eastAsia="黑体"/>
          <w:szCs w:val="32"/>
        </w:rPr>
      </w:pPr>
    </w:p>
    <w:p>
      <w:pPr>
        <w:pStyle w:val="20"/>
        <w:widowControl w:val="0"/>
        <w:ind w:firstLine="0" w:firstLineChars="0"/>
        <w:rPr>
          <w:rFonts w:ascii="Times New Roman" w:hAnsi="Times New Roman" w:eastAsia="黑体"/>
          <w:szCs w:val="32"/>
        </w:rPr>
      </w:pP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highlight w:val="none"/>
          <w:lang w:val="en-US" w:eastAsia="zh-CN"/>
        </w:rPr>
      </w:pPr>
    </w:p>
    <w:p>
      <w:pPr>
        <w:pStyle w:val="14"/>
        <w:jc w:val="center"/>
        <w:rPr>
          <w:sz w:val="72"/>
          <w:szCs w:val="72"/>
          <w:highlight w:val="none"/>
        </w:rPr>
      </w:pPr>
    </w:p>
    <w:p>
      <w:pPr>
        <w:pStyle w:val="14"/>
        <w:jc w:val="center"/>
        <w:rPr>
          <w:sz w:val="72"/>
          <w:szCs w:val="72"/>
          <w:highlight w:val="none"/>
        </w:rPr>
      </w:pPr>
    </w:p>
    <w:p>
      <w:pPr>
        <w:jc w:val="left"/>
        <w:rPr>
          <w:rFonts w:cs="黑体" w:asciiTheme="minorEastAsia" w:hAnsiTheme="minorEastAsia"/>
          <w:color w:val="000000"/>
          <w:kern w:val="0"/>
          <w:sz w:val="32"/>
          <w:szCs w:val="32"/>
          <w:highlight w:val="none"/>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0CF097"/>
    <w:multiLevelType w:val="singleLevel"/>
    <w:tmpl w:val="B40CF097"/>
    <w:lvl w:ilvl="0" w:tentative="0">
      <w:start w:val="2"/>
      <w:numFmt w:val="decimal"/>
      <w:suff w:val="nothing"/>
      <w:lvlText w:val="%1、"/>
      <w:lvlJc w:val="left"/>
    </w:lvl>
  </w:abstractNum>
  <w:abstractNum w:abstractNumId="1">
    <w:nsid w:val="153B2C08"/>
    <w:multiLevelType w:val="singleLevel"/>
    <w:tmpl w:val="153B2C08"/>
    <w:lvl w:ilvl="0" w:tentative="0">
      <w:start w:val="10"/>
      <w:numFmt w:val="chineseCounting"/>
      <w:suff w:val="nothing"/>
      <w:lvlText w:val="%1、"/>
      <w:lvlJc w:val="left"/>
      <w:rPr>
        <w:rFonts w:hint="eastAsia"/>
      </w:rPr>
    </w:lvl>
  </w:abstractNum>
  <w:abstractNum w:abstractNumId="2">
    <w:nsid w:val="30569D0F"/>
    <w:multiLevelType w:val="singleLevel"/>
    <w:tmpl w:val="30569D0F"/>
    <w:lvl w:ilvl="0" w:tentative="0">
      <w:start w:val="2"/>
      <w:numFmt w:val="chineseCounting"/>
      <w:suff w:val="nothing"/>
      <w:lvlText w:val="（%1）"/>
      <w:lvlJc w:val="left"/>
      <w:rPr>
        <w:rFonts w:hint="eastAsia"/>
      </w:rPr>
    </w:lvl>
  </w:abstractNum>
  <w:abstractNum w:abstractNumId="3">
    <w:nsid w:val="368BBDB0"/>
    <w:multiLevelType w:val="singleLevel"/>
    <w:tmpl w:val="368BBDB0"/>
    <w:lvl w:ilvl="0" w:tentative="0">
      <w:start w:val="7"/>
      <w:numFmt w:val="decimal"/>
      <w:suff w:val="nothing"/>
      <w:lvlText w:val="%1、"/>
      <w:lvlJc w:val="left"/>
    </w:lvl>
  </w:abstractNum>
  <w:abstractNum w:abstractNumId="4">
    <w:nsid w:val="60D822A2"/>
    <w:multiLevelType w:val="singleLevel"/>
    <w:tmpl w:val="60D822A2"/>
    <w:lvl w:ilvl="0" w:tentative="0">
      <w:start w:val="13"/>
      <w:numFmt w:val="chineseCounting"/>
      <w:suff w:val="nothing"/>
      <w:lvlText w:val="%1、"/>
      <w:lvlJc w:val="left"/>
      <w:rPr>
        <w:rFonts w:hint="eastAsia"/>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5ZmRkNGM3YTY2NGI1YzMzNWM3NGVmY2UzNjQ1ZmQifQ=="/>
    <w:docVar w:name="KSO_WPS_MARK_KEY" w:val="1bc76c01-688a-4539-b621-d351f3727edf"/>
  </w:docVars>
  <w:rsids>
    <w:rsidRoot w:val="004506F9"/>
    <w:rsid w:val="0002229B"/>
    <w:rsid w:val="000273BD"/>
    <w:rsid w:val="00040CBC"/>
    <w:rsid w:val="000415B7"/>
    <w:rsid w:val="00041E3F"/>
    <w:rsid w:val="00055DAA"/>
    <w:rsid w:val="00061F7B"/>
    <w:rsid w:val="000658A3"/>
    <w:rsid w:val="00074155"/>
    <w:rsid w:val="000A3F69"/>
    <w:rsid w:val="00103957"/>
    <w:rsid w:val="001113BD"/>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4D4AEB"/>
    <w:rsid w:val="00500E5F"/>
    <w:rsid w:val="005122EF"/>
    <w:rsid w:val="0051441A"/>
    <w:rsid w:val="00517C33"/>
    <w:rsid w:val="00517D5F"/>
    <w:rsid w:val="00523644"/>
    <w:rsid w:val="0054069E"/>
    <w:rsid w:val="00544866"/>
    <w:rsid w:val="0055574E"/>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22F9D"/>
    <w:rsid w:val="00F74360"/>
    <w:rsid w:val="00FB462F"/>
    <w:rsid w:val="00FE16FA"/>
    <w:rsid w:val="00FE328A"/>
    <w:rsid w:val="00FE6269"/>
    <w:rsid w:val="00FF5CD6"/>
    <w:rsid w:val="01080A12"/>
    <w:rsid w:val="010A6538"/>
    <w:rsid w:val="010D7DD7"/>
    <w:rsid w:val="012A6BDB"/>
    <w:rsid w:val="01341807"/>
    <w:rsid w:val="013637D1"/>
    <w:rsid w:val="01695955"/>
    <w:rsid w:val="018058AC"/>
    <w:rsid w:val="019422A6"/>
    <w:rsid w:val="01AC4168"/>
    <w:rsid w:val="01E0373D"/>
    <w:rsid w:val="01EC3E90"/>
    <w:rsid w:val="02105DD0"/>
    <w:rsid w:val="02317AF5"/>
    <w:rsid w:val="02447828"/>
    <w:rsid w:val="02686F3C"/>
    <w:rsid w:val="028B36A9"/>
    <w:rsid w:val="02906F11"/>
    <w:rsid w:val="02C40969"/>
    <w:rsid w:val="03157416"/>
    <w:rsid w:val="033243BE"/>
    <w:rsid w:val="03C926DB"/>
    <w:rsid w:val="043A5387"/>
    <w:rsid w:val="046643CE"/>
    <w:rsid w:val="046B05DD"/>
    <w:rsid w:val="047B14FB"/>
    <w:rsid w:val="04AB3B8E"/>
    <w:rsid w:val="04B14F1D"/>
    <w:rsid w:val="04B30C95"/>
    <w:rsid w:val="04D330E5"/>
    <w:rsid w:val="04D550AF"/>
    <w:rsid w:val="05143E2A"/>
    <w:rsid w:val="05780D78"/>
    <w:rsid w:val="05B66C8F"/>
    <w:rsid w:val="05E27A84"/>
    <w:rsid w:val="05F17CC7"/>
    <w:rsid w:val="06135E8F"/>
    <w:rsid w:val="06340605"/>
    <w:rsid w:val="0639341C"/>
    <w:rsid w:val="063D115E"/>
    <w:rsid w:val="0665331F"/>
    <w:rsid w:val="06742A00"/>
    <w:rsid w:val="068D43A1"/>
    <w:rsid w:val="06913258"/>
    <w:rsid w:val="0696261C"/>
    <w:rsid w:val="069F5975"/>
    <w:rsid w:val="06FF01C2"/>
    <w:rsid w:val="0744651C"/>
    <w:rsid w:val="07462294"/>
    <w:rsid w:val="07466D6F"/>
    <w:rsid w:val="07CC079B"/>
    <w:rsid w:val="08330E0F"/>
    <w:rsid w:val="08634780"/>
    <w:rsid w:val="08744BDF"/>
    <w:rsid w:val="08793FA4"/>
    <w:rsid w:val="08C16076"/>
    <w:rsid w:val="08CE0B51"/>
    <w:rsid w:val="09267C87"/>
    <w:rsid w:val="092D54BA"/>
    <w:rsid w:val="0935611C"/>
    <w:rsid w:val="094F68CC"/>
    <w:rsid w:val="0955056D"/>
    <w:rsid w:val="095F763D"/>
    <w:rsid w:val="09A03EDE"/>
    <w:rsid w:val="09BC05EC"/>
    <w:rsid w:val="09D9119E"/>
    <w:rsid w:val="0A5B05D9"/>
    <w:rsid w:val="0A60541B"/>
    <w:rsid w:val="0A7B2255"/>
    <w:rsid w:val="0A7D2BBC"/>
    <w:rsid w:val="0A99092D"/>
    <w:rsid w:val="0AB37C41"/>
    <w:rsid w:val="0AD83203"/>
    <w:rsid w:val="0AE61DC4"/>
    <w:rsid w:val="0AF468D9"/>
    <w:rsid w:val="0B3D39AE"/>
    <w:rsid w:val="0B776EC0"/>
    <w:rsid w:val="0B957346"/>
    <w:rsid w:val="0B996E37"/>
    <w:rsid w:val="0B9C2B0E"/>
    <w:rsid w:val="0BB774B4"/>
    <w:rsid w:val="0C060244"/>
    <w:rsid w:val="0C2F6EBE"/>
    <w:rsid w:val="0C4F74F5"/>
    <w:rsid w:val="0C6B6869"/>
    <w:rsid w:val="0C741652"/>
    <w:rsid w:val="0C9910B8"/>
    <w:rsid w:val="0CC169A1"/>
    <w:rsid w:val="0CE56464"/>
    <w:rsid w:val="0D156991"/>
    <w:rsid w:val="0D2564A8"/>
    <w:rsid w:val="0D86163D"/>
    <w:rsid w:val="0DCD2DC7"/>
    <w:rsid w:val="0DF06AB6"/>
    <w:rsid w:val="0E470868"/>
    <w:rsid w:val="0EA53D44"/>
    <w:rsid w:val="0EA7186A"/>
    <w:rsid w:val="0F274759"/>
    <w:rsid w:val="0FAB5E3B"/>
    <w:rsid w:val="0FB75ADD"/>
    <w:rsid w:val="0FCE4AA0"/>
    <w:rsid w:val="0FFC1742"/>
    <w:rsid w:val="10031806"/>
    <w:rsid w:val="102D2243"/>
    <w:rsid w:val="103A226A"/>
    <w:rsid w:val="1088747A"/>
    <w:rsid w:val="1139307F"/>
    <w:rsid w:val="113E5D8A"/>
    <w:rsid w:val="114A2981"/>
    <w:rsid w:val="11603F53"/>
    <w:rsid w:val="116972AB"/>
    <w:rsid w:val="11812847"/>
    <w:rsid w:val="12723F3D"/>
    <w:rsid w:val="12732AA0"/>
    <w:rsid w:val="12843C71"/>
    <w:rsid w:val="12AF0CEE"/>
    <w:rsid w:val="12AF5192"/>
    <w:rsid w:val="12B5625B"/>
    <w:rsid w:val="12B72298"/>
    <w:rsid w:val="12C10A21"/>
    <w:rsid w:val="12CC6DD5"/>
    <w:rsid w:val="12D76496"/>
    <w:rsid w:val="12EF1A32"/>
    <w:rsid w:val="13021765"/>
    <w:rsid w:val="13AC2411"/>
    <w:rsid w:val="13AD4DEB"/>
    <w:rsid w:val="14072DAB"/>
    <w:rsid w:val="141D25CF"/>
    <w:rsid w:val="146B285A"/>
    <w:rsid w:val="14887A48"/>
    <w:rsid w:val="14A64372"/>
    <w:rsid w:val="14DC7D94"/>
    <w:rsid w:val="14E804E7"/>
    <w:rsid w:val="14E92405"/>
    <w:rsid w:val="14FA3B77"/>
    <w:rsid w:val="151A266A"/>
    <w:rsid w:val="15261B20"/>
    <w:rsid w:val="153320AA"/>
    <w:rsid w:val="153674A4"/>
    <w:rsid w:val="153B4ABB"/>
    <w:rsid w:val="153E5D5D"/>
    <w:rsid w:val="15475B55"/>
    <w:rsid w:val="1548367B"/>
    <w:rsid w:val="155D7127"/>
    <w:rsid w:val="1581501D"/>
    <w:rsid w:val="158226E9"/>
    <w:rsid w:val="15987EAA"/>
    <w:rsid w:val="15B142F9"/>
    <w:rsid w:val="15B674F6"/>
    <w:rsid w:val="15C521FE"/>
    <w:rsid w:val="15C5475E"/>
    <w:rsid w:val="15E05662"/>
    <w:rsid w:val="15E66705"/>
    <w:rsid w:val="161D1CE9"/>
    <w:rsid w:val="16210154"/>
    <w:rsid w:val="16400220"/>
    <w:rsid w:val="165878EE"/>
    <w:rsid w:val="1666025D"/>
    <w:rsid w:val="166E2C6E"/>
    <w:rsid w:val="166E7112"/>
    <w:rsid w:val="167F131F"/>
    <w:rsid w:val="16976668"/>
    <w:rsid w:val="16CB6878"/>
    <w:rsid w:val="16CD4ACA"/>
    <w:rsid w:val="16EA49EA"/>
    <w:rsid w:val="17126BFE"/>
    <w:rsid w:val="17223384"/>
    <w:rsid w:val="172779EC"/>
    <w:rsid w:val="172D2B29"/>
    <w:rsid w:val="17822E75"/>
    <w:rsid w:val="17CA481C"/>
    <w:rsid w:val="180970F2"/>
    <w:rsid w:val="182A0E16"/>
    <w:rsid w:val="18366034"/>
    <w:rsid w:val="18491BE4"/>
    <w:rsid w:val="18510A99"/>
    <w:rsid w:val="18A137CE"/>
    <w:rsid w:val="18A84385"/>
    <w:rsid w:val="18C96AE1"/>
    <w:rsid w:val="18D53478"/>
    <w:rsid w:val="18F002B2"/>
    <w:rsid w:val="19057DB3"/>
    <w:rsid w:val="19706CFD"/>
    <w:rsid w:val="198561B8"/>
    <w:rsid w:val="19A76BC3"/>
    <w:rsid w:val="19AE753E"/>
    <w:rsid w:val="19AF1F1B"/>
    <w:rsid w:val="19C86B39"/>
    <w:rsid w:val="19F45B80"/>
    <w:rsid w:val="1A6E76E0"/>
    <w:rsid w:val="1A8C60A2"/>
    <w:rsid w:val="1AD25EC1"/>
    <w:rsid w:val="1B1262BE"/>
    <w:rsid w:val="1B1A1616"/>
    <w:rsid w:val="1BC670A8"/>
    <w:rsid w:val="1BC872C4"/>
    <w:rsid w:val="1C00080C"/>
    <w:rsid w:val="1C0302FC"/>
    <w:rsid w:val="1C3A028E"/>
    <w:rsid w:val="1C4F709D"/>
    <w:rsid w:val="1C623275"/>
    <w:rsid w:val="1C8B0F3C"/>
    <w:rsid w:val="1CA67605"/>
    <w:rsid w:val="1CCE50E5"/>
    <w:rsid w:val="1D385D84"/>
    <w:rsid w:val="1D57445C"/>
    <w:rsid w:val="1D852670"/>
    <w:rsid w:val="1D8E3BF5"/>
    <w:rsid w:val="1D97DEFF"/>
    <w:rsid w:val="1DB14A0B"/>
    <w:rsid w:val="1DFF72E5"/>
    <w:rsid w:val="1E0A3BC4"/>
    <w:rsid w:val="1E26477C"/>
    <w:rsid w:val="1E3D7AF5"/>
    <w:rsid w:val="1E537319"/>
    <w:rsid w:val="1E7D7EF2"/>
    <w:rsid w:val="1EFC6F07"/>
    <w:rsid w:val="1F7E2174"/>
    <w:rsid w:val="1F9E2816"/>
    <w:rsid w:val="1FAE057F"/>
    <w:rsid w:val="1FAF67D1"/>
    <w:rsid w:val="1FBC7B48"/>
    <w:rsid w:val="1FCA53B9"/>
    <w:rsid w:val="1FCB2EDF"/>
    <w:rsid w:val="1FDC082E"/>
    <w:rsid w:val="200A3A07"/>
    <w:rsid w:val="201C198C"/>
    <w:rsid w:val="2023302E"/>
    <w:rsid w:val="205C1778"/>
    <w:rsid w:val="218D362D"/>
    <w:rsid w:val="21D4251F"/>
    <w:rsid w:val="224913C5"/>
    <w:rsid w:val="22706B09"/>
    <w:rsid w:val="22D93B65"/>
    <w:rsid w:val="22E569AE"/>
    <w:rsid w:val="230B739B"/>
    <w:rsid w:val="230F5B30"/>
    <w:rsid w:val="235605DC"/>
    <w:rsid w:val="23B87C1E"/>
    <w:rsid w:val="23BD4D73"/>
    <w:rsid w:val="23D700A4"/>
    <w:rsid w:val="24343749"/>
    <w:rsid w:val="244B2840"/>
    <w:rsid w:val="245C4A4D"/>
    <w:rsid w:val="24AF7273"/>
    <w:rsid w:val="24D258A5"/>
    <w:rsid w:val="24EC5DD1"/>
    <w:rsid w:val="252F5CBE"/>
    <w:rsid w:val="253634F0"/>
    <w:rsid w:val="254554E2"/>
    <w:rsid w:val="258129BE"/>
    <w:rsid w:val="258B383C"/>
    <w:rsid w:val="259D152E"/>
    <w:rsid w:val="25DD1C74"/>
    <w:rsid w:val="25DE7E50"/>
    <w:rsid w:val="25FD54D9"/>
    <w:rsid w:val="2601765A"/>
    <w:rsid w:val="261A696E"/>
    <w:rsid w:val="26526108"/>
    <w:rsid w:val="2656547D"/>
    <w:rsid w:val="265E4AAD"/>
    <w:rsid w:val="26BD5C77"/>
    <w:rsid w:val="26CA2142"/>
    <w:rsid w:val="270F2585"/>
    <w:rsid w:val="2729330D"/>
    <w:rsid w:val="27427F2B"/>
    <w:rsid w:val="274E2D73"/>
    <w:rsid w:val="274F0899"/>
    <w:rsid w:val="27565784"/>
    <w:rsid w:val="27B626C7"/>
    <w:rsid w:val="27BA5D13"/>
    <w:rsid w:val="280576EE"/>
    <w:rsid w:val="283830DC"/>
    <w:rsid w:val="283A50A6"/>
    <w:rsid w:val="283F090E"/>
    <w:rsid w:val="286B1703"/>
    <w:rsid w:val="28A80261"/>
    <w:rsid w:val="28AC5FA3"/>
    <w:rsid w:val="28C332ED"/>
    <w:rsid w:val="28C36E49"/>
    <w:rsid w:val="28CE18DC"/>
    <w:rsid w:val="28D02F63"/>
    <w:rsid w:val="28E05C4D"/>
    <w:rsid w:val="294A0056"/>
    <w:rsid w:val="29671ECA"/>
    <w:rsid w:val="298C1931"/>
    <w:rsid w:val="29E03A2B"/>
    <w:rsid w:val="29EC23D0"/>
    <w:rsid w:val="29F3375E"/>
    <w:rsid w:val="2A6138D3"/>
    <w:rsid w:val="2AA80A60"/>
    <w:rsid w:val="2AAB4039"/>
    <w:rsid w:val="2ABD4243"/>
    <w:rsid w:val="2B0A6FB1"/>
    <w:rsid w:val="2B0B42C0"/>
    <w:rsid w:val="2B1F42EE"/>
    <w:rsid w:val="2B4C581C"/>
    <w:rsid w:val="2B8C6026"/>
    <w:rsid w:val="2B91322F"/>
    <w:rsid w:val="2BA411B4"/>
    <w:rsid w:val="2BBB474F"/>
    <w:rsid w:val="2BBE1B4A"/>
    <w:rsid w:val="2BF612E4"/>
    <w:rsid w:val="2C1C3440"/>
    <w:rsid w:val="2C1D0F66"/>
    <w:rsid w:val="2C300C99"/>
    <w:rsid w:val="2C33078A"/>
    <w:rsid w:val="2C464019"/>
    <w:rsid w:val="2C7A1F15"/>
    <w:rsid w:val="2CA13945"/>
    <w:rsid w:val="2CA43435"/>
    <w:rsid w:val="2CB573F1"/>
    <w:rsid w:val="2CE657FC"/>
    <w:rsid w:val="2CE965C4"/>
    <w:rsid w:val="2CFC5020"/>
    <w:rsid w:val="2D031593"/>
    <w:rsid w:val="2D167E90"/>
    <w:rsid w:val="2D594220"/>
    <w:rsid w:val="2D5B5FD2"/>
    <w:rsid w:val="2DB17BB8"/>
    <w:rsid w:val="2DBD02E0"/>
    <w:rsid w:val="2DC31699"/>
    <w:rsid w:val="2DED396A"/>
    <w:rsid w:val="2E426A62"/>
    <w:rsid w:val="2E4C7B3F"/>
    <w:rsid w:val="2E532A1D"/>
    <w:rsid w:val="2E5642BC"/>
    <w:rsid w:val="2E6469D8"/>
    <w:rsid w:val="2E717347"/>
    <w:rsid w:val="2F462582"/>
    <w:rsid w:val="2F762C67"/>
    <w:rsid w:val="2F81180C"/>
    <w:rsid w:val="2F994DA8"/>
    <w:rsid w:val="2FCA31B3"/>
    <w:rsid w:val="2FD7307F"/>
    <w:rsid w:val="2FDF85B8"/>
    <w:rsid w:val="2FE029D7"/>
    <w:rsid w:val="2FF40230"/>
    <w:rsid w:val="2FF63FA8"/>
    <w:rsid w:val="2FFFEE04"/>
    <w:rsid w:val="303D3985"/>
    <w:rsid w:val="30536D05"/>
    <w:rsid w:val="305807BF"/>
    <w:rsid w:val="30A03E98"/>
    <w:rsid w:val="30FD3114"/>
    <w:rsid w:val="31605994"/>
    <w:rsid w:val="316D2048"/>
    <w:rsid w:val="31927D00"/>
    <w:rsid w:val="31943A79"/>
    <w:rsid w:val="31AA0A84"/>
    <w:rsid w:val="31D75713"/>
    <w:rsid w:val="325A6A70"/>
    <w:rsid w:val="326E6078"/>
    <w:rsid w:val="32DB1233"/>
    <w:rsid w:val="32DF2AD1"/>
    <w:rsid w:val="32EE540A"/>
    <w:rsid w:val="32FA790B"/>
    <w:rsid w:val="3310712F"/>
    <w:rsid w:val="33150BE9"/>
    <w:rsid w:val="331D7A9E"/>
    <w:rsid w:val="3328091C"/>
    <w:rsid w:val="335452E3"/>
    <w:rsid w:val="335D7E9A"/>
    <w:rsid w:val="337C3265"/>
    <w:rsid w:val="3381002D"/>
    <w:rsid w:val="33840D33"/>
    <w:rsid w:val="33857B1D"/>
    <w:rsid w:val="338A588C"/>
    <w:rsid w:val="33994BAE"/>
    <w:rsid w:val="33B26438"/>
    <w:rsid w:val="33C70135"/>
    <w:rsid w:val="342C7F98"/>
    <w:rsid w:val="34714624"/>
    <w:rsid w:val="34DF85B0"/>
    <w:rsid w:val="34F211E2"/>
    <w:rsid w:val="34F30AB6"/>
    <w:rsid w:val="34FB6327"/>
    <w:rsid w:val="34FB796B"/>
    <w:rsid w:val="355A28E3"/>
    <w:rsid w:val="355E0625"/>
    <w:rsid w:val="35BE2E72"/>
    <w:rsid w:val="35F9034E"/>
    <w:rsid w:val="3606429F"/>
    <w:rsid w:val="3627310D"/>
    <w:rsid w:val="365C7A0B"/>
    <w:rsid w:val="36791FB9"/>
    <w:rsid w:val="367B5207"/>
    <w:rsid w:val="367F7591"/>
    <w:rsid w:val="368D6CE8"/>
    <w:rsid w:val="36C201AF"/>
    <w:rsid w:val="36D36DF1"/>
    <w:rsid w:val="36D641EB"/>
    <w:rsid w:val="36EF6C96"/>
    <w:rsid w:val="37166CDE"/>
    <w:rsid w:val="371F2036"/>
    <w:rsid w:val="372E04CB"/>
    <w:rsid w:val="373D070E"/>
    <w:rsid w:val="379C3687"/>
    <w:rsid w:val="380A2A7F"/>
    <w:rsid w:val="385F7B27"/>
    <w:rsid w:val="38653A79"/>
    <w:rsid w:val="38832151"/>
    <w:rsid w:val="38CA5FD2"/>
    <w:rsid w:val="38CD3F92"/>
    <w:rsid w:val="38CF35E8"/>
    <w:rsid w:val="38EF3C8A"/>
    <w:rsid w:val="38F512A1"/>
    <w:rsid w:val="390E4110"/>
    <w:rsid w:val="391B05DB"/>
    <w:rsid w:val="392A081F"/>
    <w:rsid w:val="39331DC9"/>
    <w:rsid w:val="39495149"/>
    <w:rsid w:val="39641F82"/>
    <w:rsid w:val="39916AF0"/>
    <w:rsid w:val="39967162"/>
    <w:rsid w:val="39981C2C"/>
    <w:rsid w:val="39A22AAB"/>
    <w:rsid w:val="39B06F76"/>
    <w:rsid w:val="39B26C5B"/>
    <w:rsid w:val="39FA28E7"/>
    <w:rsid w:val="3A00614F"/>
    <w:rsid w:val="3A173499"/>
    <w:rsid w:val="3A9B5E78"/>
    <w:rsid w:val="3ABB2076"/>
    <w:rsid w:val="3ABC194A"/>
    <w:rsid w:val="3ACA22B9"/>
    <w:rsid w:val="3AF410E4"/>
    <w:rsid w:val="3B7D37CF"/>
    <w:rsid w:val="3B8561E0"/>
    <w:rsid w:val="3B8F36BC"/>
    <w:rsid w:val="3BFA6BCE"/>
    <w:rsid w:val="3C045336"/>
    <w:rsid w:val="3C1077F6"/>
    <w:rsid w:val="3C1852A6"/>
    <w:rsid w:val="3C1C6B44"/>
    <w:rsid w:val="3C2974B3"/>
    <w:rsid w:val="3C3648AE"/>
    <w:rsid w:val="3C687FDC"/>
    <w:rsid w:val="3C88242C"/>
    <w:rsid w:val="3D09356D"/>
    <w:rsid w:val="3D31661F"/>
    <w:rsid w:val="3D5F318D"/>
    <w:rsid w:val="3D85696B"/>
    <w:rsid w:val="3DB55462"/>
    <w:rsid w:val="3DD75419"/>
    <w:rsid w:val="3E210442"/>
    <w:rsid w:val="3E216694"/>
    <w:rsid w:val="3E886713"/>
    <w:rsid w:val="3E8D5AD7"/>
    <w:rsid w:val="3ED76AB5"/>
    <w:rsid w:val="3EEA2F2A"/>
    <w:rsid w:val="3EF2298F"/>
    <w:rsid w:val="3EFB0C93"/>
    <w:rsid w:val="3F02358D"/>
    <w:rsid w:val="3F0670D5"/>
    <w:rsid w:val="3F160DD8"/>
    <w:rsid w:val="3F4C7741"/>
    <w:rsid w:val="3F827606"/>
    <w:rsid w:val="3F9904AC"/>
    <w:rsid w:val="3FB11C9A"/>
    <w:rsid w:val="3FC01EDD"/>
    <w:rsid w:val="3FC27987"/>
    <w:rsid w:val="40056D44"/>
    <w:rsid w:val="401B0D58"/>
    <w:rsid w:val="403A3A3D"/>
    <w:rsid w:val="407A652F"/>
    <w:rsid w:val="407F3B46"/>
    <w:rsid w:val="40972C3D"/>
    <w:rsid w:val="409C46F8"/>
    <w:rsid w:val="40A610D2"/>
    <w:rsid w:val="40F24318"/>
    <w:rsid w:val="410C599B"/>
    <w:rsid w:val="41166258"/>
    <w:rsid w:val="415E7BFF"/>
    <w:rsid w:val="417F48A2"/>
    <w:rsid w:val="41C9151C"/>
    <w:rsid w:val="41CC2DBB"/>
    <w:rsid w:val="42293D69"/>
    <w:rsid w:val="424741EF"/>
    <w:rsid w:val="428216CB"/>
    <w:rsid w:val="42B51CDD"/>
    <w:rsid w:val="42CB3072"/>
    <w:rsid w:val="42DF4159"/>
    <w:rsid w:val="432C1DDD"/>
    <w:rsid w:val="43346E69"/>
    <w:rsid w:val="43396113"/>
    <w:rsid w:val="43A85162"/>
    <w:rsid w:val="43C81360"/>
    <w:rsid w:val="43C875B2"/>
    <w:rsid w:val="446C618F"/>
    <w:rsid w:val="44753296"/>
    <w:rsid w:val="447B4624"/>
    <w:rsid w:val="44A27E03"/>
    <w:rsid w:val="44A818BD"/>
    <w:rsid w:val="44AB4F09"/>
    <w:rsid w:val="44E126D9"/>
    <w:rsid w:val="452B429C"/>
    <w:rsid w:val="453A628D"/>
    <w:rsid w:val="454964D0"/>
    <w:rsid w:val="45941E41"/>
    <w:rsid w:val="4597723C"/>
    <w:rsid w:val="45997458"/>
    <w:rsid w:val="45B61DB8"/>
    <w:rsid w:val="45F4643C"/>
    <w:rsid w:val="460C7C2A"/>
    <w:rsid w:val="462322B2"/>
    <w:rsid w:val="462908AA"/>
    <w:rsid w:val="463B406B"/>
    <w:rsid w:val="464F5D68"/>
    <w:rsid w:val="467A753A"/>
    <w:rsid w:val="46D70238"/>
    <w:rsid w:val="47266AC9"/>
    <w:rsid w:val="472F1E22"/>
    <w:rsid w:val="473F5DDD"/>
    <w:rsid w:val="478C7274"/>
    <w:rsid w:val="47DC5F4F"/>
    <w:rsid w:val="47E36768"/>
    <w:rsid w:val="481B23A6"/>
    <w:rsid w:val="48515DC8"/>
    <w:rsid w:val="48917B4E"/>
    <w:rsid w:val="489B2425"/>
    <w:rsid w:val="48BC3A3F"/>
    <w:rsid w:val="48BC5937"/>
    <w:rsid w:val="48EB621C"/>
    <w:rsid w:val="491C0184"/>
    <w:rsid w:val="491FF225"/>
    <w:rsid w:val="49210164"/>
    <w:rsid w:val="49247038"/>
    <w:rsid w:val="496438D9"/>
    <w:rsid w:val="496658A3"/>
    <w:rsid w:val="49C56A6D"/>
    <w:rsid w:val="49E52C6C"/>
    <w:rsid w:val="49FC1D63"/>
    <w:rsid w:val="4A01737A"/>
    <w:rsid w:val="4A1B3456"/>
    <w:rsid w:val="4A6718D3"/>
    <w:rsid w:val="4A972463"/>
    <w:rsid w:val="4AC5484B"/>
    <w:rsid w:val="4AE72A13"/>
    <w:rsid w:val="4AEE5B50"/>
    <w:rsid w:val="4B103D18"/>
    <w:rsid w:val="4B4B11F4"/>
    <w:rsid w:val="4B7D0C82"/>
    <w:rsid w:val="4B854C4F"/>
    <w:rsid w:val="4B944949"/>
    <w:rsid w:val="4BC16080"/>
    <w:rsid w:val="4C21155B"/>
    <w:rsid w:val="4C213D03"/>
    <w:rsid w:val="4C3457E4"/>
    <w:rsid w:val="4C3F436C"/>
    <w:rsid w:val="4C5F34F9"/>
    <w:rsid w:val="4CAE1A3B"/>
    <w:rsid w:val="4CAF130F"/>
    <w:rsid w:val="4CD3324F"/>
    <w:rsid w:val="4D104754"/>
    <w:rsid w:val="4D1938B3"/>
    <w:rsid w:val="4D2E66D8"/>
    <w:rsid w:val="4D587BF8"/>
    <w:rsid w:val="4D5C3245"/>
    <w:rsid w:val="4D5F2D35"/>
    <w:rsid w:val="4D720832"/>
    <w:rsid w:val="4D834C75"/>
    <w:rsid w:val="4D9229C5"/>
    <w:rsid w:val="4D9329DF"/>
    <w:rsid w:val="4DB52955"/>
    <w:rsid w:val="4DCD5EF0"/>
    <w:rsid w:val="4E094A4F"/>
    <w:rsid w:val="4E102281"/>
    <w:rsid w:val="4E3C5B2A"/>
    <w:rsid w:val="4E760913"/>
    <w:rsid w:val="4EA7554A"/>
    <w:rsid w:val="4F0040A4"/>
    <w:rsid w:val="4F0D61FC"/>
    <w:rsid w:val="4F2953A8"/>
    <w:rsid w:val="4F5A7C58"/>
    <w:rsid w:val="4F7B372A"/>
    <w:rsid w:val="4F9C35F4"/>
    <w:rsid w:val="4FB235F0"/>
    <w:rsid w:val="4FE17A31"/>
    <w:rsid w:val="4FFD214C"/>
    <w:rsid w:val="504C1795"/>
    <w:rsid w:val="507C1E50"/>
    <w:rsid w:val="50A218B6"/>
    <w:rsid w:val="50A56CB1"/>
    <w:rsid w:val="50DB26D2"/>
    <w:rsid w:val="515E44E5"/>
    <w:rsid w:val="51693724"/>
    <w:rsid w:val="51F872B4"/>
    <w:rsid w:val="51FE0D6E"/>
    <w:rsid w:val="52171E30"/>
    <w:rsid w:val="52322221"/>
    <w:rsid w:val="52426781"/>
    <w:rsid w:val="524A3FB4"/>
    <w:rsid w:val="5257047F"/>
    <w:rsid w:val="52B551A5"/>
    <w:rsid w:val="52C366A9"/>
    <w:rsid w:val="52D33E80"/>
    <w:rsid w:val="5301063F"/>
    <w:rsid w:val="53803A05"/>
    <w:rsid w:val="53986FA1"/>
    <w:rsid w:val="539D6365"/>
    <w:rsid w:val="53C102A5"/>
    <w:rsid w:val="53C733E2"/>
    <w:rsid w:val="53CC6C4A"/>
    <w:rsid w:val="54091C4C"/>
    <w:rsid w:val="543A722A"/>
    <w:rsid w:val="54492049"/>
    <w:rsid w:val="54774E08"/>
    <w:rsid w:val="547A0454"/>
    <w:rsid w:val="549F610D"/>
    <w:rsid w:val="54C53DC5"/>
    <w:rsid w:val="54D47B64"/>
    <w:rsid w:val="55222FC6"/>
    <w:rsid w:val="554747DA"/>
    <w:rsid w:val="554C6B20"/>
    <w:rsid w:val="5570481C"/>
    <w:rsid w:val="55BD684B"/>
    <w:rsid w:val="55C37BD9"/>
    <w:rsid w:val="55F52488"/>
    <w:rsid w:val="55FC27AA"/>
    <w:rsid w:val="56350AD7"/>
    <w:rsid w:val="566E3FE9"/>
    <w:rsid w:val="56FF2E93"/>
    <w:rsid w:val="570A3D11"/>
    <w:rsid w:val="57672F12"/>
    <w:rsid w:val="5777D4F5"/>
    <w:rsid w:val="57882E88"/>
    <w:rsid w:val="57931F59"/>
    <w:rsid w:val="57A75A04"/>
    <w:rsid w:val="57B95737"/>
    <w:rsid w:val="57E83927"/>
    <w:rsid w:val="57F86260"/>
    <w:rsid w:val="580F5357"/>
    <w:rsid w:val="5818245E"/>
    <w:rsid w:val="58353010"/>
    <w:rsid w:val="58382B00"/>
    <w:rsid w:val="585F008D"/>
    <w:rsid w:val="58694A68"/>
    <w:rsid w:val="588C69A8"/>
    <w:rsid w:val="58937D37"/>
    <w:rsid w:val="589F0489"/>
    <w:rsid w:val="58C726DF"/>
    <w:rsid w:val="58CD4FF7"/>
    <w:rsid w:val="58D520FD"/>
    <w:rsid w:val="58D533E4"/>
    <w:rsid w:val="591C5F7E"/>
    <w:rsid w:val="59375A1D"/>
    <w:rsid w:val="593908DE"/>
    <w:rsid w:val="59C02DAD"/>
    <w:rsid w:val="59DD8326"/>
    <w:rsid w:val="59E44CEE"/>
    <w:rsid w:val="59E50EE9"/>
    <w:rsid w:val="5A025174"/>
    <w:rsid w:val="5A36306F"/>
    <w:rsid w:val="5A405C9C"/>
    <w:rsid w:val="5A4958D6"/>
    <w:rsid w:val="5A60400E"/>
    <w:rsid w:val="5AAE47D4"/>
    <w:rsid w:val="5AF076C2"/>
    <w:rsid w:val="5B1433B1"/>
    <w:rsid w:val="5B3752F1"/>
    <w:rsid w:val="5B503CBD"/>
    <w:rsid w:val="5BA929E0"/>
    <w:rsid w:val="5BBA55DA"/>
    <w:rsid w:val="5BFC5BF3"/>
    <w:rsid w:val="5C0827EA"/>
    <w:rsid w:val="5C1473E0"/>
    <w:rsid w:val="5C1D0043"/>
    <w:rsid w:val="5C335AB8"/>
    <w:rsid w:val="5C4750C0"/>
    <w:rsid w:val="5C4A2E02"/>
    <w:rsid w:val="5C4E019E"/>
    <w:rsid w:val="5C643EC4"/>
    <w:rsid w:val="5C797243"/>
    <w:rsid w:val="5CB45E8A"/>
    <w:rsid w:val="5CE77B86"/>
    <w:rsid w:val="5CF85B9A"/>
    <w:rsid w:val="5CFD1C22"/>
    <w:rsid w:val="5CFD5EE8"/>
    <w:rsid w:val="5D1A27D4"/>
    <w:rsid w:val="5D323FC2"/>
    <w:rsid w:val="5D5201C0"/>
    <w:rsid w:val="5D7A14C5"/>
    <w:rsid w:val="5DBF512A"/>
    <w:rsid w:val="5DC97650"/>
    <w:rsid w:val="5DD961EC"/>
    <w:rsid w:val="5DE66B5A"/>
    <w:rsid w:val="5DEF592A"/>
    <w:rsid w:val="5DFE3EA4"/>
    <w:rsid w:val="5E602469"/>
    <w:rsid w:val="5E9E040C"/>
    <w:rsid w:val="5EA54320"/>
    <w:rsid w:val="5EB46155"/>
    <w:rsid w:val="5EC0115A"/>
    <w:rsid w:val="5ED370DF"/>
    <w:rsid w:val="5EFA466C"/>
    <w:rsid w:val="5FC6BB1E"/>
    <w:rsid w:val="5FDE21DF"/>
    <w:rsid w:val="5FF720F1"/>
    <w:rsid w:val="5FF9489B"/>
    <w:rsid w:val="60194FC5"/>
    <w:rsid w:val="601E438A"/>
    <w:rsid w:val="60234096"/>
    <w:rsid w:val="60473B92"/>
    <w:rsid w:val="604C7149"/>
    <w:rsid w:val="60675D31"/>
    <w:rsid w:val="60964868"/>
    <w:rsid w:val="60B66CB8"/>
    <w:rsid w:val="610F145C"/>
    <w:rsid w:val="61776447"/>
    <w:rsid w:val="6186668A"/>
    <w:rsid w:val="619863BE"/>
    <w:rsid w:val="61A11716"/>
    <w:rsid w:val="61DC274E"/>
    <w:rsid w:val="61F41846"/>
    <w:rsid w:val="621E68C3"/>
    <w:rsid w:val="623460E6"/>
    <w:rsid w:val="62586279"/>
    <w:rsid w:val="62774225"/>
    <w:rsid w:val="628F5A13"/>
    <w:rsid w:val="629D3C8C"/>
    <w:rsid w:val="62C531E2"/>
    <w:rsid w:val="62DD677E"/>
    <w:rsid w:val="63343EC4"/>
    <w:rsid w:val="63442359"/>
    <w:rsid w:val="63600520"/>
    <w:rsid w:val="63690012"/>
    <w:rsid w:val="639D7CBB"/>
    <w:rsid w:val="63B03E93"/>
    <w:rsid w:val="640A35A3"/>
    <w:rsid w:val="640B10C9"/>
    <w:rsid w:val="6465592B"/>
    <w:rsid w:val="64A66AE3"/>
    <w:rsid w:val="64BB664B"/>
    <w:rsid w:val="64DD0CB7"/>
    <w:rsid w:val="64F717F1"/>
    <w:rsid w:val="654F4BDE"/>
    <w:rsid w:val="65622F6B"/>
    <w:rsid w:val="659D0447"/>
    <w:rsid w:val="65AB4911"/>
    <w:rsid w:val="65E120E1"/>
    <w:rsid w:val="65E47E23"/>
    <w:rsid w:val="661A0A16"/>
    <w:rsid w:val="663012BB"/>
    <w:rsid w:val="66442670"/>
    <w:rsid w:val="66476D2B"/>
    <w:rsid w:val="66CD13A4"/>
    <w:rsid w:val="671E1113"/>
    <w:rsid w:val="67892A30"/>
    <w:rsid w:val="678B49FB"/>
    <w:rsid w:val="67EE31DB"/>
    <w:rsid w:val="67FF5C0B"/>
    <w:rsid w:val="6804655B"/>
    <w:rsid w:val="680B5B3B"/>
    <w:rsid w:val="683230C8"/>
    <w:rsid w:val="684B418A"/>
    <w:rsid w:val="68572B2F"/>
    <w:rsid w:val="68863414"/>
    <w:rsid w:val="68CF6B69"/>
    <w:rsid w:val="68F44821"/>
    <w:rsid w:val="69353C18"/>
    <w:rsid w:val="694F7CAA"/>
    <w:rsid w:val="695A0B28"/>
    <w:rsid w:val="696A4AE4"/>
    <w:rsid w:val="69992CD3"/>
    <w:rsid w:val="699D0A15"/>
    <w:rsid w:val="69A62BA0"/>
    <w:rsid w:val="69D02B99"/>
    <w:rsid w:val="69F60125"/>
    <w:rsid w:val="6A024D1C"/>
    <w:rsid w:val="6A554E4C"/>
    <w:rsid w:val="6A681023"/>
    <w:rsid w:val="6A6D6639"/>
    <w:rsid w:val="6A9736B6"/>
    <w:rsid w:val="6AA54025"/>
    <w:rsid w:val="6ADB0EA6"/>
    <w:rsid w:val="6B55185B"/>
    <w:rsid w:val="6B59096C"/>
    <w:rsid w:val="6B647232"/>
    <w:rsid w:val="6B9B2D32"/>
    <w:rsid w:val="6BC95AF1"/>
    <w:rsid w:val="6BD526E8"/>
    <w:rsid w:val="6BDA5F51"/>
    <w:rsid w:val="6C111246"/>
    <w:rsid w:val="6C5850C7"/>
    <w:rsid w:val="6D0019E7"/>
    <w:rsid w:val="6D0A4613"/>
    <w:rsid w:val="6D282CEC"/>
    <w:rsid w:val="6D417909"/>
    <w:rsid w:val="6D5238C5"/>
    <w:rsid w:val="6D9E2FAE"/>
    <w:rsid w:val="6DC72505"/>
    <w:rsid w:val="6DDD7632"/>
    <w:rsid w:val="6DE94229"/>
    <w:rsid w:val="6E30412A"/>
    <w:rsid w:val="6E421B8B"/>
    <w:rsid w:val="6E427DDD"/>
    <w:rsid w:val="6E6B7334"/>
    <w:rsid w:val="6E7206C2"/>
    <w:rsid w:val="6E7A1325"/>
    <w:rsid w:val="6EB26D11"/>
    <w:rsid w:val="6EC922AC"/>
    <w:rsid w:val="6EFC0924"/>
    <w:rsid w:val="6F3F60CB"/>
    <w:rsid w:val="6FB74722"/>
    <w:rsid w:val="6FC7059A"/>
    <w:rsid w:val="6FEF8B7E"/>
    <w:rsid w:val="700F0193"/>
    <w:rsid w:val="70425E72"/>
    <w:rsid w:val="70492DC4"/>
    <w:rsid w:val="70814BED"/>
    <w:rsid w:val="70A1703D"/>
    <w:rsid w:val="70AB3A18"/>
    <w:rsid w:val="70E17439"/>
    <w:rsid w:val="70F829D5"/>
    <w:rsid w:val="711C66C3"/>
    <w:rsid w:val="712573E8"/>
    <w:rsid w:val="71566079"/>
    <w:rsid w:val="717D1460"/>
    <w:rsid w:val="71A6591B"/>
    <w:rsid w:val="71AD37BF"/>
    <w:rsid w:val="71E35433"/>
    <w:rsid w:val="71EE109B"/>
    <w:rsid w:val="71FD4747"/>
    <w:rsid w:val="726E7171"/>
    <w:rsid w:val="72C47013"/>
    <w:rsid w:val="72E66F89"/>
    <w:rsid w:val="72F44556"/>
    <w:rsid w:val="737D59BA"/>
    <w:rsid w:val="73B47087"/>
    <w:rsid w:val="73F05BE5"/>
    <w:rsid w:val="741713C4"/>
    <w:rsid w:val="7419338E"/>
    <w:rsid w:val="7434641A"/>
    <w:rsid w:val="74624D35"/>
    <w:rsid w:val="747E1443"/>
    <w:rsid w:val="75483F2B"/>
    <w:rsid w:val="75695C4F"/>
    <w:rsid w:val="75AD1FE0"/>
    <w:rsid w:val="75ED6880"/>
    <w:rsid w:val="75F145C2"/>
    <w:rsid w:val="761402B1"/>
    <w:rsid w:val="7614205F"/>
    <w:rsid w:val="761C0F14"/>
    <w:rsid w:val="7625426C"/>
    <w:rsid w:val="762D3121"/>
    <w:rsid w:val="763E0E8A"/>
    <w:rsid w:val="76402E54"/>
    <w:rsid w:val="76911902"/>
    <w:rsid w:val="76AE4262"/>
    <w:rsid w:val="76C43A85"/>
    <w:rsid w:val="76FB3A1E"/>
    <w:rsid w:val="771C566F"/>
    <w:rsid w:val="779A2A38"/>
    <w:rsid w:val="77A23485"/>
    <w:rsid w:val="77A613DD"/>
    <w:rsid w:val="77B04009"/>
    <w:rsid w:val="77C37683"/>
    <w:rsid w:val="78056103"/>
    <w:rsid w:val="780A196C"/>
    <w:rsid w:val="780F6F82"/>
    <w:rsid w:val="781225CE"/>
    <w:rsid w:val="782347DB"/>
    <w:rsid w:val="783C764B"/>
    <w:rsid w:val="784C1F84"/>
    <w:rsid w:val="78B92D5F"/>
    <w:rsid w:val="78BC253A"/>
    <w:rsid w:val="78D41F79"/>
    <w:rsid w:val="78DB3308"/>
    <w:rsid w:val="78F63C9E"/>
    <w:rsid w:val="796230E1"/>
    <w:rsid w:val="796E5F2A"/>
    <w:rsid w:val="797D43BF"/>
    <w:rsid w:val="79C42887"/>
    <w:rsid w:val="79D97847"/>
    <w:rsid w:val="79E166FC"/>
    <w:rsid w:val="79FF515B"/>
    <w:rsid w:val="7A020420"/>
    <w:rsid w:val="7A3A5294"/>
    <w:rsid w:val="7A441E15"/>
    <w:rsid w:val="7A7F1AFD"/>
    <w:rsid w:val="7A805F15"/>
    <w:rsid w:val="7AC06311"/>
    <w:rsid w:val="7AD4000F"/>
    <w:rsid w:val="7AE244DA"/>
    <w:rsid w:val="7AE6195B"/>
    <w:rsid w:val="7B03623F"/>
    <w:rsid w:val="7B1D5512"/>
    <w:rsid w:val="7B2A08C8"/>
    <w:rsid w:val="7B7A6E08"/>
    <w:rsid w:val="7B933775"/>
    <w:rsid w:val="7BB046A3"/>
    <w:rsid w:val="7BEB3862"/>
    <w:rsid w:val="7C632B40"/>
    <w:rsid w:val="7C8605CF"/>
    <w:rsid w:val="7D605B8A"/>
    <w:rsid w:val="7DC720AD"/>
    <w:rsid w:val="7DC97BD3"/>
    <w:rsid w:val="7E8A55B4"/>
    <w:rsid w:val="7E9E1962"/>
    <w:rsid w:val="7E9F11B4"/>
    <w:rsid w:val="7EA31E30"/>
    <w:rsid w:val="7EDE145C"/>
    <w:rsid w:val="7EDE320A"/>
    <w:rsid w:val="7F0B6BC5"/>
    <w:rsid w:val="7F196938"/>
    <w:rsid w:val="7F37EC1E"/>
    <w:rsid w:val="7F511C2E"/>
    <w:rsid w:val="7F7DCD9D"/>
    <w:rsid w:val="7F970A6F"/>
    <w:rsid w:val="7FAB3A34"/>
    <w:rsid w:val="7FB34697"/>
    <w:rsid w:val="7FC1FFF3"/>
    <w:rsid w:val="7FC22B2C"/>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99"/>
    <w:pPr>
      <w:widowControl/>
      <w:spacing w:after="120"/>
      <w:ind w:left="420" w:leftChars="200"/>
      <w:jc w:val="left"/>
    </w:pPr>
    <w:rPr>
      <w:rFonts w:ascii="宋体" w:hAnsi="宋体" w:eastAsia="宋体" w:cs="宋体"/>
      <w:kern w:val="0"/>
      <w:sz w:val="24"/>
    </w:rPr>
  </w:style>
  <w:style w:type="paragraph" w:styleId="4">
    <w:name w:val="Body Text"/>
    <w:basedOn w:val="1"/>
    <w:next w:val="1"/>
    <w:qFormat/>
    <w:uiPriority w:val="1"/>
    <w:pPr>
      <w:ind w:left="111"/>
    </w:pPr>
    <w:rPr>
      <w:sz w:val="32"/>
      <w:szCs w:val="32"/>
    </w:rPr>
  </w:style>
  <w:style w:type="paragraph" w:styleId="5">
    <w:name w:val="Balloon Text"/>
    <w:basedOn w:val="1"/>
    <w:link w:val="16"/>
    <w:semiHidden/>
    <w:unhideWhenUsed/>
    <w:qFormat/>
    <w:uiPriority w:val="99"/>
    <w:rPr>
      <w:sz w:val="18"/>
      <w:szCs w:val="18"/>
    </w:r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next w:val="2"/>
    <w:semiHidden/>
    <w:qFormat/>
    <w:uiPriority w:val="0"/>
    <w:pPr>
      <w:snapToGrid w:val="0"/>
      <w:jc w:val="left"/>
    </w:pPr>
    <w:rPr>
      <w:sz w:val="18"/>
      <w:szCs w:val="18"/>
    </w:rPr>
  </w:style>
  <w:style w:type="paragraph" w:styleId="9">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2">
    <w:name w:val="页眉 Char"/>
    <w:basedOn w:val="11"/>
    <w:link w:val="7"/>
    <w:qFormat/>
    <w:uiPriority w:val="99"/>
    <w:rPr>
      <w:sz w:val="18"/>
      <w:szCs w:val="18"/>
    </w:rPr>
  </w:style>
  <w:style w:type="character" w:customStyle="1" w:styleId="13">
    <w:name w:val="页脚 Char"/>
    <w:basedOn w:val="11"/>
    <w:link w:val="6"/>
    <w:qFormat/>
    <w:uiPriority w:val="99"/>
    <w:rPr>
      <w:sz w:val="18"/>
      <w:szCs w:val="18"/>
    </w:rPr>
  </w:style>
  <w:style w:type="paragraph" w:customStyle="1" w:styleId="14">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5">
    <w:name w:val="List Paragraph"/>
    <w:basedOn w:val="1"/>
    <w:qFormat/>
    <w:uiPriority w:val="34"/>
    <w:pPr>
      <w:ind w:firstLine="420" w:firstLineChars="200"/>
    </w:pPr>
  </w:style>
  <w:style w:type="character" w:customStyle="1" w:styleId="16">
    <w:name w:val="批注框文本 Char"/>
    <w:basedOn w:val="11"/>
    <w:link w:val="5"/>
    <w:semiHidden/>
    <w:qFormat/>
    <w:uiPriority w:val="99"/>
    <w:rPr>
      <w:sz w:val="18"/>
      <w:szCs w:val="18"/>
    </w:rPr>
  </w:style>
  <w:style w:type="character" w:customStyle="1" w:styleId="17">
    <w:name w:val="font01"/>
    <w:basedOn w:val="11"/>
    <w:qFormat/>
    <w:uiPriority w:val="0"/>
    <w:rPr>
      <w:rFonts w:hint="eastAsia" w:ascii="宋体" w:hAnsi="宋体" w:eastAsia="宋体" w:cs="宋体"/>
      <w:color w:val="000000"/>
      <w:sz w:val="22"/>
      <w:szCs w:val="22"/>
      <w:u w:val="none"/>
    </w:rPr>
  </w:style>
  <w:style w:type="character" w:customStyle="1" w:styleId="18">
    <w:name w:val="font21"/>
    <w:basedOn w:val="11"/>
    <w:qFormat/>
    <w:uiPriority w:val="0"/>
    <w:rPr>
      <w:rFonts w:hint="eastAsia" w:ascii="宋体" w:hAnsi="宋体" w:eastAsia="宋体" w:cs="宋体"/>
      <w:color w:val="000000"/>
      <w:sz w:val="24"/>
      <w:szCs w:val="24"/>
      <w:u w:val="none"/>
    </w:rPr>
  </w:style>
  <w:style w:type="character" w:customStyle="1" w:styleId="19">
    <w:name w:val="font11"/>
    <w:basedOn w:val="11"/>
    <w:qFormat/>
    <w:uiPriority w:val="0"/>
    <w:rPr>
      <w:rFonts w:hint="eastAsia" w:ascii="宋体" w:hAnsi="宋体" w:eastAsia="宋体" w:cs="宋体"/>
      <w:color w:val="000000"/>
      <w:sz w:val="24"/>
      <w:szCs w:val="24"/>
      <w:u w:val="none"/>
    </w:rPr>
  </w:style>
  <w:style w:type="paragraph" w:customStyle="1" w:styleId="20">
    <w:name w:val="无间隔1"/>
    <w:qFormat/>
    <w:uiPriority w:val="1"/>
    <w:pPr>
      <w:adjustRightInd w:val="0"/>
      <w:snapToGrid w:val="0"/>
      <w:spacing w:line="360" w:lineRule="auto"/>
      <w:ind w:firstLine="200" w:firstLineChars="200"/>
    </w:pPr>
    <w:rPr>
      <w:rFonts w:ascii="Tahoma" w:hAnsi="Tahoma" w:eastAsia="仿宋_GB2312" w:cs="Times New Roman"/>
      <w:sz w:val="32"/>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47</Pages>
  <Words>20079</Words>
  <Characters>25051</Characters>
  <Lines>63</Lines>
  <Paragraphs>18</Paragraphs>
  <TotalTime>37</TotalTime>
  <ScaleCrop>false</ScaleCrop>
  <LinksUpToDate>false</LinksUpToDate>
  <CharactersWithSpaces>25284</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吴哲</cp:lastModifiedBy>
  <cp:lastPrinted>2024-09-04T02:37:00Z</cp:lastPrinted>
  <dcterms:modified xsi:type="dcterms:W3CDTF">2024-09-04T06:36:44Z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1FE9164446AE49F4B0376AEC2F92F4A5</vt:lpwstr>
  </property>
</Properties>
</file>